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F076" w14:textId="77777777" w:rsidR="00C24415" w:rsidRPr="004E2DE5" w:rsidRDefault="00C24415" w:rsidP="00680919">
      <w:pPr>
        <w:pStyle w:val="Heading3"/>
        <w:jc w:val="center"/>
        <w:rPr>
          <w:rFonts w:ascii="Calibri" w:hAnsi="Calibri" w:cs="Calibri"/>
          <w:color w:val="000000" w:themeColor="text1"/>
          <w:sz w:val="20"/>
        </w:rPr>
      </w:pPr>
      <w:r w:rsidRPr="004E2DE5">
        <w:rPr>
          <w:rFonts w:ascii="Calibri" w:hAnsi="Calibri" w:cs="Calibri"/>
          <w:color w:val="000000" w:themeColor="text1"/>
          <w:sz w:val="20"/>
        </w:rPr>
        <w:t>Learner Notification</w:t>
      </w:r>
    </w:p>
    <w:p w14:paraId="0942B257" w14:textId="77777777" w:rsidR="00680919" w:rsidRPr="004E2DE5" w:rsidRDefault="00680919">
      <w:pPr>
        <w:pStyle w:val="Heading3"/>
        <w:rPr>
          <w:rFonts w:ascii="Calibri" w:hAnsi="Calibri" w:cs="Calibri"/>
          <w:color w:val="000000" w:themeColor="text1"/>
          <w:sz w:val="20"/>
        </w:rPr>
      </w:pPr>
    </w:p>
    <w:p w14:paraId="61D324A2" w14:textId="77777777" w:rsidR="006E264F" w:rsidRPr="004E2DE5" w:rsidRDefault="006E264F" w:rsidP="006E264F">
      <w:pPr>
        <w:rPr>
          <w:rFonts w:ascii="Calibri" w:hAnsi="Calibri" w:cs="Calibri"/>
          <w:b/>
          <w:bCs/>
          <w:color w:val="000000" w:themeColor="text1"/>
        </w:rPr>
      </w:pPr>
      <w:r w:rsidRPr="004E2DE5">
        <w:rPr>
          <w:rFonts w:ascii="Calibri" w:hAnsi="Calibri" w:cs="Calibri"/>
          <w:b/>
          <w:bCs/>
          <w:color w:val="000000" w:themeColor="text1"/>
        </w:rPr>
        <w:t xml:space="preserve">Society of Gynecologic Oncology </w:t>
      </w:r>
    </w:p>
    <w:p w14:paraId="5247B16D" w14:textId="77777777" w:rsidR="004F0D35" w:rsidRPr="004E2DE5" w:rsidRDefault="004F0D35" w:rsidP="004F0D35">
      <w:pPr>
        <w:rPr>
          <w:rFonts w:ascii="Calibri" w:hAnsi="Calibri" w:cs="Calibri"/>
          <w:b/>
          <w:bCs/>
        </w:rPr>
      </w:pPr>
      <w:r w:rsidRPr="004E2DE5">
        <w:rPr>
          <w:rFonts w:ascii="Calibri" w:hAnsi="Calibri" w:cs="Calibri"/>
          <w:b/>
          <w:bCs/>
        </w:rPr>
        <w:t>2022 ACCC Series #2 - Perfecting Placement of PARPs: Preventing Progression of Ovarian Cancer</w:t>
      </w:r>
    </w:p>
    <w:p w14:paraId="14409A68" w14:textId="77777777" w:rsidR="00442CE8" w:rsidRPr="004E2DE5" w:rsidRDefault="00442CE8" w:rsidP="00442CE8">
      <w:pPr>
        <w:rPr>
          <w:rFonts w:ascii="Calibri" w:hAnsi="Calibri" w:cs="Calibri"/>
          <w:b/>
          <w:bCs/>
        </w:rPr>
      </w:pPr>
      <w:r w:rsidRPr="004E2DE5">
        <w:rPr>
          <w:rFonts w:ascii="Calibri" w:hAnsi="Calibri" w:cs="Calibri"/>
          <w:b/>
          <w:bCs/>
        </w:rPr>
        <w:t>Enduring: May 27, 2022 – May 27, 2023</w:t>
      </w:r>
    </w:p>
    <w:p w14:paraId="59248AF2" w14:textId="77777777" w:rsidR="006E264F" w:rsidRPr="004E2DE5" w:rsidRDefault="006E264F" w:rsidP="006E264F">
      <w:pPr>
        <w:rPr>
          <w:rFonts w:ascii="Calibri" w:hAnsi="Calibri" w:cs="Calibri"/>
          <w:b/>
          <w:bCs/>
          <w:color w:val="000000" w:themeColor="text1"/>
        </w:rPr>
      </w:pPr>
      <w:r w:rsidRPr="004E2DE5">
        <w:rPr>
          <w:rFonts w:ascii="Calibri" w:hAnsi="Calibri" w:cs="Calibri"/>
          <w:b/>
          <w:bCs/>
          <w:color w:val="000000" w:themeColor="text1"/>
        </w:rPr>
        <w:t>Online</w:t>
      </w:r>
    </w:p>
    <w:p w14:paraId="3DD66B1A" w14:textId="77777777" w:rsidR="00680919" w:rsidRPr="004E2DE5" w:rsidRDefault="00680919">
      <w:pPr>
        <w:rPr>
          <w:rFonts w:ascii="Calibri" w:hAnsi="Calibri" w:cs="Calibri"/>
          <w:b/>
          <w:noProof/>
          <w:color w:val="000000" w:themeColor="text1"/>
        </w:rPr>
      </w:pPr>
    </w:p>
    <w:p w14:paraId="76F9381B" w14:textId="77777777" w:rsidR="00C044D5" w:rsidRPr="004E2DE5" w:rsidRDefault="00C044D5" w:rsidP="00C044D5">
      <w:pPr>
        <w:rPr>
          <w:rFonts w:ascii="Calibri" w:hAnsi="Calibri" w:cs="Calibri"/>
          <w:b/>
          <w:noProof/>
          <w:color w:val="000000" w:themeColor="text1"/>
          <w:u w:val="single"/>
        </w:rPr>
      </w:pPr>
      <w:r w:rsidRPr="004E2DE5">
        <w:rPr>
          <w:rFonts w:ascii="Calibri" w:hAnsi="Calibri" w:cs="Calibri"/>
          <w:b/>
          <w:noProof/>
          <w:color w:val="000000" w:themeColor="text1"/>
          <w:u w:val="single"/>
        </w:rPr>
        <w:t>Acknowledgement of Financial Commercial Support</w:t>
      </w:r>
    </w:p>
    <w:p w14:paraId="51EA5E8A" w14:textId="77777777" w:rsidR="00C044D5" w:rsidRPr="004E2DE5" w:rsidRDefault="00C044D5" w:rsidP="00C044D5">
      <w:pPr>
        <w:rPr>
          <w:rFonts w:ascii="Calibri" w:hAnsi="Calibri" w:cs="Calibri"/>
          <w:color w:val="000000" w:themeColor="text1"/>
          <w:u w:val="single"/>
        </w:rPr>
        <w:sectPr w:rsidR="00C044D5" w:rsidRPr="004E2DE5" w:rsidSect="00AB2AD4">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720" w:footer="720" w:gutter="0"/>
          <w:cols w:space="720"/>
          <w:docGrid w:linePitch="272"/>
        </w:sectPr>
      </w:pPr>
    </w:p>
    <w:p w14:paraId="6A55712E" w14:textId="77777777" w:rsidR="006E264F" w:rsidRPr="004E2DE5" w:rsidRDefault="006E264F" w:rsidP="006E264F">
      <w:pPr>
        <w:rPr>
          <w:rFonts w:ascii="Calibri" w:hAnsi="Calibri" w:cs="Calibri"/>
          <w:color w:val="000000" w:themeColor="text1"/>
        </w:rPr>
      </w:pPr>
      <w:r w:rsidRPr="004E2DE5">
        <w:rPr>
          <w:rFonts w:ascii="Calibri" w:hAnsi="Calibri" w:cs="Calibri"/>
          <w:color w:val="000000" w:themeColor="text1"/>
        </w:rPr>
        <w:t>No financial commercial support was received for this educational activity.</w:t>
      </w:r>
    </w:p>
    <w:p w14:paraId="200EB2BA" w14:textId="77777777" w:rsidR="00673BA2" w:rsidRPr="004E2DE5" w:rsidRDefault="00673BA2" w:rsidP="00673BA2">
      <w:pPr>
        <w:rPr>
          <w:rFonts w:ascii="Calibri" w:hAnsi="Calibri" w:cs="Calibri"/>
          <w:color w:val="000000" w:themeColor="text1"/>
        </w:rPr>
      </w:pPr>
    </w:p>
    <w:p w14:paraId="3B8860B1" w14:textId="71AB5C05" w:rsidR="00C044D5" w:rsidRPr="004E2DE5" w:rsidRDefault="00C044D5" w:rsidP="00673BA2">
      <w:pPr>
        <w:rPr>
          <w:rFonts w:ascii="Calibri" w:hAnsi="Calibri" w:cs="Calibri"/>
          <w:b/>
          <w:noProof/>
          <w:color w:val="000000" w:themeColor="text1"/>
        </w:rPr>
      </w:pPr>
      <w:r w:rsidRPr="004E2DE5">
        <w:rPr>
          <w:rFonts w:ascii="Calibri" w:hAnsi="Calibri" w:cs="Calibri"/>
          <w:b/>
          <w:noProof/>
          <w:color w:val="000000" w:themeColor="text1"/>
          <w:u w:val="single"/>
        </w:rPr>
        <w:t>Acknowledgement of In-Kind Commercial Support</w:t>
      </w:r>
    </w:p>
    <w:p w14:paraId="79F23A38" w14:textId="77777777" w:rsidR="00C044D5" w:rsidRPr="004E2DE5" w:rsidRDefault="00C044D5" w:rsidP="00C044D5">
      <w:pPr>
        <w:rPr>
          <w:rFonts w:ascii="Calibri" w:hAnsi="Calibri" w:cs="Calibri"/>
          <w:color w:val="000000" w:themeColor="text1"/>
        </w:rPr>
      </w:pPr>
      <w:r w:rsidRPr="004E2DE5">
        <w:rPr>
          <w:rFonts w:ascii="Calibri" w:hAnsi="Calibri" w:cs="Calibri"/>
          <w:color w:val="000000" w:themeColor="text1"/>
        </w:rPr>
        <w:t>No in-kind commercial support was received for this educational activity.</w:t>
      </w:r>
    </w:p>
    <w:p w14:paraId="5492648B" w14:textId="77777777" w:rsidR="00680919" w:rsidRPr="004E2DE5" w:rsidRDefault="00680919" w:rsidP="00680919">
      <w:pPr>
        <w:rPr>
          <w:rFonts w:ascii="Calibri" w:hAnsi="Calibri" w:cs="Calibri"/>
          <w:noProof/>
          <w:color w:val="000000" w:themeColor="text1"/>
        </w:rPr>
      </w:pPr>
    </w:p>
    <w:p w14:paraId="0F2802DD" w14:textId="77777777" w:rsidR="00621DD1" w:rsidRPr="004E2DE5" w:rsidRDefault="00621DD1" w:rsidP="00621DD1">
      <w:pPr>
        <w:rPr>
          <w:rFonts w:ascii="Calibri" w:eastAsia="MS Mincho" w:hAnsi="Calibri" w:cs="Calibri"/>
          <w:color w:val="000000" w:themeColor="text1"/>
          <w:u w:val="single"/>
        </w:rPr>
      </w:pPr>
      <w:r w:rsidRPr="004E2DE5">
        <w:rPr>
          <w:rFonts w:ascii="Calibri" w:eastAsia="MS Mincho" w:hAnsi="Calibri" w:cs="Calibri"/>
          <w:b/>
          <w:bCs/>
          <w:color w:val="000000" w:themeColor="text1"/>
          <w:u w:val="single"/>
        </w:rPr>
        <w:t>Satisfactory Completion</w:t>
      </w:r>
      <w:r w:rsidRPr="004E2DE5">
        <w:rPr>
          <w:rFonts w:ascii="Calibri" w:eastAsia="MS Mincho" w:hAnsi="Calibri" w:cs="Calibri"/>
          <w:color w:val="000000" w:themeColor="text1"/>
          <w:u w:val="single"/>
        </w:rPr>
        <w:t xml:space="preserve">  </w:t>
      </w:r>
    </w:p>
    <w:p w14:paraId="0D028E03" w14:textId="51D22CCD" w:rsidR="00621DD1" w:rsidRPr="004E2DE5" w:rsidRDefault="00621DD1" w:rsidP="00621DD1">
      <w:pPr>
        <w:rPr>
          <w:rFonts w:ascii="Calibri" w:hAnsi="Calibri" w:cs="Calibri"/>
          <w:color w:val="000000" w:themeColor="text1"/>
        </w:rPr>
      </w:pPr>
      <w:r w:rsidRPr="004E2DE5">
        <w:rPr>
          <w:rFonts w:ascii="Calibri" w:hAnsi="Calibri" w:cs="Calibri"/>
          <w:color w:val="000000" w:themeColor="text1"/>
        </w:rPr>
        <w:t>Learners must complete an evaluation form to receive a certificate of completion. Your chosen sessions must be attended in their entirety.  Partial credit of individual sessions is not available.</w:t>
      </w:r>
      <w:r w:rsidR="00DD1F49" w:rsidRPr="004E2DE5">
        <w:rPr>
          <w:rFonts w:ascii="Calibri" w:hAnsi="Calibri" w:cs="Calibri"/>
          <w:color w:val="000000" w:themeColor="text1"/>
        </w:rPr>
        <w:t xml:space="preserve"> </w:t>
      </w:r>
      <w:r w:rsidRPr="004E2DE5">
        <w:rPr>
          <w:rFonts w:ascii="Calibri" w:hAnsi="Calibri" w:cs="Calibri"/>
          <w:color w:val="000000" w:themeColor="text1"/>
        </w:rPr>
        <w:t xml:space="preserve">If you are seeking continuing education credit for a specialty not listed below, it is your responsibility to contact your licensing/certification board to determine course eligibility for your licensing/certification requirement.   </w:t>
      </w:r>
    </w:p>
    <w:p w14:paraId="360EC5A2" w14:textId="77777777" w:rsidR="00680919" w:rsidRPr="004E2DE5" w:rsidRDefault="00680919" w:rsidP="00680919">
      <w:pPr>
        <w:rPr>
          <w:rFonts w:ascii="Calibri" w:hAnsi="Calibri" w:cs="Calibri"/>
          <w:b/>
          <w:noProof/>
          <w:color w:val="000000" w:themeColor="text1"/>
        </w:rPr>
      </w:pPr>
    </w:p>
    <w:p w14:paraId="3F5658BB" w14:textId="77777777" w:rsidR="008D446D" w:rsidRPr="004E2DE5" w:rsidRDefault="008D446D" w:rsidP="008D446D">
      <w:pPr>
        <w:rPr>
          <w:rFonts w:ascii="Calibri" w:hAnsi="Calibri" w:cs="Calibri"/>
          <w:b/>
          <w:color w:val="000000" w:themeColor="text1"/>
          <w:u w:val="single"/>
        </w:rPr>
      </w:pPr>
      <w:r w:rsidRPr="004E2DE5">
        <w:rPr>
          <w:rFonts w:ascii="Calibri" w:hAnsi="Calibri" w:cs="Calibri"/>
          <w:b/>
          <w:color w:val="000000" w:themeColor="text1"/>
          <w:u w:val="single"/>
        </w:rPr>
        <w:t>Accreditation Statement</w:t>
      </w:r>
    </w:p>
    <w:p w14:paraId="6E96D4C6" w14:textId="77777777" w:rsidR="008D446D" w:rsidRPr="004E2DE5" w:rsidRDefault="008D446D" w:rsidP="008D446D">
      <w:pPr>
        <w:rPr>
          <w:rFonts w:ascii="Calibri" w:hAnsi="Calibri" w:cs="Calibri"/>
          <w:color w:val="000000" w:themeColor="text1"/>
        </w:rPr>
      </w:pPr>
      <w:r w:rsidRPr="004E2DE5">
        <w:rPr>
          <w:rFonts w:ascii="Calibri" w:hAnsi="Calibri" w:cs="Calibri"/>
          <w:noProof/>
          <w:color w:val="000000" w:themeColor="text1"/>
        </w:rPr>
        <w:drawing>
          <wp:anchor distT="0" distB="0" distL="114300" distR="114300" simplePos="0" relativeHeight="251659264" behindDoc="1" locked="0" layoutInCell="1" allowOverlap="1" wp14:anchorId="36819422" wp14:editId="241CB4D8">
            <wp:simplePos x="0" y="0"/>
            <wp:positionH relativeFrom="column">
              <wp:posOffset>49839</wp:posOffset>
            </wp:positionH>
            <wp:positionV relativeFrom="paragraph">
              <wp:posOffset>49774</wp:posOffset>
            </wp:positionV>
            <wp:extent cx="1170432" cy="749808"/>
            <wp:effectExtent l="0" t="0" r="0" b="0"/>
            <wp:wrapTight wrapText="right">
              <wp:wrapPolygon edited="0">
                <wp:start x="0" y="0"/>
                <wp:lineTo x="0" y="21234"/>
                <wp:lineTo x="21330" y="21234"/>
                <wp:lineTo x="21330" y="0"/>
                <wp:lineTo x="0" y="0"/>
              </wp:wrapPolygon>
            </wp:wrapTight>
            <wp:docPr id="15" name="Picture 3"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0432" cy="7498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DE5">
        <w:rPr>
          <w:rFonts w:ascii="Calibri" w:hAnsi="Calibri" w:cs="Calibri"/>
          <w:color w:val="000000" w:themeColor="text1"/>
        </w:rPr>
        <w:t>In support of improving patient care, this activity has been planned and implemented by Amedco LLC and Society of Gynecologic Oncology (SGO).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2B6D9DC7" w14:textId="7C19BBF3" w:rsidR="008D446D" w:rsidRPr="004E2DE5" w:rsidRDefault="008D446D" w:rsidP="008D446D">
      <w:pPr>
        <w:jc w:val="both"/>
        <w:rPr>
          <w:rFonts w:ascii="Calibri" w:hAnsi="Calibri" w:cs="Calibri"/>
          <w:b/>
          <w:bCs/>
          <w:color w:val="000000" w:themeColor="text1"/>
        </w:rPr>
      </w:pPr>
    </w:p>
    <w:p w14:paraId="024C4986" w14:textId="77777777" w:rsidR="000F1340" w:rsidRPr="004E2DE5" w:rsidRDefault="000F1340" w:rsidP="008D446D">
      <w:pPr>
        <w:jc w:val="both"/>
        <w:rPr>
          <w:rFonts w:ascii="Calibri" w:hAnsi="Calibri" w:cs="Calibri"/>
          <w:b/>
          <w:bCs/>
          <w:color w:val="000000" w:themeColor="text1"/>
        </w:rPr>
      </w:pPr>
    </w:p>
    <w:p w14:paraId="2BE3D113" w14:textId="77777777" w:rsidR="002A2795" w:rsidRPr="004E2DE5" w:rsidRDefault="002A2795" w:rsidP="002A2795">
      <w:pPr>
        <w:rPr>
          <w:rFonts w:ascii="Calibri" w:hAnsi="Calibri" w:cs="Calibri"/>
          <w:b/>
          <w:u w:val="single"/>
        </w:rPr>
      </w:pPr>
      <w:r w:rsidRPr="004E2DE5">
        <w:rPr>
          <w:rFonts w:ascii="Calibri" w:hAnsi="Calibri" w:cs="Calibri"/>
          <w:b/>
          <w:u w:val="single"/>
        </w:rPr>
        <w:t>Physicians (ACCME) Credit Designation</w:t>
      </w:r>
    </w:p>
    <w:p w14:paraId="5DD8A24A" w14:textId="0EF04F84" w:rsidR="002A2795" w:rsidRPr="004E2DE5" w:rsidRDefault="002A2795" w:rsidP="002A2795">
      <w:pPr>
        <w:rPr>
          <w:rFonts w:ascii="Calibri" w:hAnsi="Calibri" w:cs="Calibri"/>
          <w:bCs/>
        </w:rPr>
      </w:pPr>
      <w:r w:rsidRPr="004E2DE5">
        <w:rPr>
          <w:rFonts w:ascii="Calibri" w:hAnsi="Calibri" w:cs="Calibri"/>
        </w:rPr>
        <w:t xml:space="preserve">Amedco LLC </w:t>
      </w:r>
      <w:r w:rsidRPr="004E2DE5">
        <w:rPr>
          <w:rFonts w:ascii="Calibri" w:hAnsi="Calibri" w:cs="Calibri"/>
          <w:bCs/>
        </w:rPr>
        <w:t xml:space="preserve">designates this </w:t>
      </w:r>
      <w:r w:rsidR="008837AC">
        <w:rPr>
          <w:rFonts w:ascii="Calibri" w:hAnsi="Calibri" w:cs="Calibri"/>
          <w:b/>
        </w:rPr>
        <w:t>enduring material</w:t>
      </w:r>
      <w:r w:rsidRPr="004E2DE5">
        <w:rPr>
          <w:rFonts w:ascii="Calibri" w:hAnsi="Calibri" w:cs="Calibri"/>
          <w:b/>
        </w:rPr>
        <w:t xml:space="preserve"> </w:t>
      </w:r>
      <w:r w:rsidRPr="004E2DE5">
        <w:rPr>
          <w:rFonts w:ascii="Calibri" w:hAnsi="Calibri" w:cs="Calibri"/>
          <w:bCs/>
        </w:rPr>
        <w:t xml:space="preserve">for a maximum of </w:t>
      </w:r>
      <w:r w:rsidRPr="004E2DE5">
        <w:rPr>
          <w:rStyle w:val="apple-converted-space"/>
          <w:rFonts w:ascii="Calibri" w:hAnsi="Calibri" w:cs="Calibri"/>
          <w:b/>
          <w:bCs/>
          <w:color w:val="000000"/>
        </w:rPr>
        <w:t xml:space="preserve">.50 </w:t>
      </w:r>
      <w:r w:rsidRPr="004E2DE5">
        <w:rPr>
          <w:rFonts w:ascii="Calibri" w:hAnsi="Calibri" w:cs="Calibri"/>
          <w:bCs/>
          <w:i/>
          <w:iCs/>
        </w:rPr>
        <w:t>AMA PRA Category 1 Credits</w:t>
      </w:r>
      <w:r w:rsidRPr="004E2DE5">
        <w:rPr>
          <w:rFonts w:ascii="Calibri" w:hAnsi="Calibri" w:cs="Calibri"/>
          <w:bCs/>
          <w:iCs/>
          <w:vertAlign w:val="superscript"/>
        </w:rPr>
        <w:t>TM</w:t>
      </w:r>
      <w:r w:rsidRPr="004E2DE5">
        <w:rPr>
          <w:rFonts w:ascii="Calibri" w:hAnsi="Calibri" w:cs="Calibri"/>
          <w:bCs/>
        </w:rPr>
        <w:t xml:space="preserve">. Physicians should </w:t>
      </w:r>
      <w:r w:rsidRPr="004E2DE5">
        <w:rPr>
          <w:rFonts w:ascii="Calibri" w:hAnsi="Calibri" w:cs="Calibri"/>
        </w:rPr>
        <w:t xml:space="preserve">claim only the credit </w:t>
      </w:r>
      <w:r w:rsidRPr="004E2DE5">
        <w:rPr>
          <w:rFonts w:ascii="Calibri" w:hAnsi="Calibri" w:cs="Calibri"/>
          <w:bCs/>
        </w:rPr>
        <w:t xml:space="preserve">commensurate with the extent of their participation in the activity.  </w:t>
      </w:r>
    </w:p>
    <w:p w14:paraId="5AD6C94C" w14:textId="77777777" w:rsidR="002A2795" w:rsidRPr="004E2DE5" w:rsidRDefault="002A2795" w:rsidP="002A2795">
      <w:pPr>
        <w:rPr>
          <w:rFonts w:ascii="Calibri" w:hAnsi="Calibri" w:cs="Calibri"/>
          <w:bCs/>
        </w:rPr>
      </w:pPr>
    </w:p>
    <w:p w14:paraId="7CF54F55" w14:textId="77777777" w:rsidR="002A2795" w:rsidRPr="004E2DE5" w:rsidRDefault="002A2795" w:rsidP="002A2795">
      <w:pPr>
        <w:rPr>
          <w:rFonts w:ascii="Calibri" w:hAnsi="Calibri" w:cs="Calibri"/>
          <w:b/>
          <w:u w:val="single"/>
        </w:rPr>
      </w:pPr>
      <w:r w:rsidRPr="004E2DE5">
        <w:rPr>
          <w:rFonts w:ascii="Calibri" w:hAnsi="Calibri" w:cs="Calibri"/>
          <w:b/>
          <w:u w:val="single"/>
        </w:rPr>
        <w:t>Nurses (ANCC) Credit Designation</w:t>
      </w:r>
    </w:p>
    <w:p w14:paraId="69F17134" w14:textId="77777777" w:rsidR="002A2795" w:rsidRPr="004E2DE5" w:rsidRDefault="002A2795" w:rsidP="002A2795">
      <w:pPr>
        <w:rPr>
          <w:rFonts w:ascii="Calibri" w:hAnsi="Calibri" w:cs="Calibri"/>
          <w:color w:val="000000"/>
        </w:rPr>
      </w:pPr>
      <w:r w:rsidRPr="004E2DE5">
        <w:rPr>
          <w:rFonts w:ascii="Calibri" w:hAnsi="Calibri" w:cs="Calibri"/>
          <w:color w:val="000000"/>
        </w:rPr>
        <w:t>Amedco LLC designates this activity for a maximum of</w:t>
      </w:r>
      <w:r w:rsidRPr="004E2DE5">
        <w:rPr>
          <w:rStyle w:val="apple-converted-space"/>
          <w:rFonts w:ascii="Calibri" w:hAnsi="Calibri" w:cs="Calibri"/>
          <w:color w:val="000000"/>
        </w:rPr>
        <w:t> </w:t>
      </w:r>
      <w:r w:rsidRPr="004E2DE5">
        <w:rPr>
          <w:rStyle w:val="apple-converted-space"/>
          <w:rFonts w:ascii="Calibri" w:hAnsi="Calibri" w:cs="Calibri"/>
          <w:b/>
          <w:bCs/>
          <w:color w:val="000000"/>
        </w:rPr>
        <w:t>.50</w:t>
      </w:r>
      <w:r w:rsidRPr="004E2DE5">
        <w:rPr>
          <w:rStyle w:val="apple-converted-space"/>
          <w:rFonts w:ascii="Calibri" w:hAnsi="Calibri" w:cs="Calibri"/>
          <w:color w:val="000000"/>
        </w:rPr>
        <w:t> </w:t>
      </w:r>
      <w:r w:rsidRPr="004E2DE5">
        <w:rPr>
          <w:rFonts w:ascii="Calibri" w:hAnsi="Calibri" w:cs="Calibri"/>
          <w:color w:val="000000"/>
        </w:rPr>
        <w:t>ANCC contact hours.</w:t>
      </w:r>
    </w:p>
    <w:p w14:paraId="6E90C582" w14:textId="77777777" w:rsidR="002A2795" w:rsidRPr="004E2DE5" w:rsidRDefault="002A2795" w:rsidP="002A2795">
      <w:pPr>
        <w:rPr>
          <w:rFonts w:ascii="Calibri" w:hAnsi="Calibri" w:cs="Calibri"/>
          <w:bCs/>
        </w:rPr>
      </w:pPr>
    </w:p>
    <w:p w14:paraId="42F60277" w14:textId="77777777" w:rsidR="002A2795" w:rsidRPr="004E2DE5" w:rsidRDefault="002A2795" w:rsidP="002A2795">
      <w:pPr>
        <w:rPr>
          <w:rFonts w:ascii="Calibri" w:hAnsi="Calibri" w:cs="Calibri"/>
          <w:b/>
          <w:u w:val="single"/>
        </w:rPr>
      </w:pPr>
      <w:r w:rsidRPr="004E2DE5">
        <w:rPr>
          <w:rFonts w:ascii="Calibri" w:hAnsi="Calibri" w:cs="Calibri"/>
          <w:b/>
          <w:bCs/>
          <w:color w:val="000000"/>
          <w:u w:val="single"/>
        </w:rPr>
        <w:t>Pharmacists and Pharmacy Technician</w:t>
      </w:r>
      <w:r w:rsidRPr="004E2DE5">
        <w:rPr>
          <w:rStyle w:val="apple-converted-space"/>
          <w:rFonts w:ascii="Calibri" w:hAnsi="Calibri" w:cs="Calibri"/>
          <w:b/>
          <w:bCs/>
          <w:color w:val="000000"/>
          <w:u w:val="single"/>
        </w:rPr>
        <w:t>s (ACPE)</w:t>
      </w:r>
      <w:r w:rsidRPr="004E2DE5">
        <w:rPr>
          <w:rFonts w:ascii="Calibri" w:hAnsi="Calibri" w:cs="Calibri"/>
          <w:b/>
          <w:u w:val="single"/>
        </w:rPr>
        <w:t xml:space="preserve"> Credit Designation</w:t>
      </w:r>
    </w:p>
    <w:p w14:paraId="72C95AFB" w14:textId="77777777" w:rsidR="002A2795" w:rsidRPr="004E2DE5" w:rsidRDefault="002A2795" w:rsidP="002A2795">
      <w:pPr>
        <w:rPr>
          <w:rFonts w:ascii="Calibri" w:hAnsi="Calibri" w:cs="Calibri"/>
          <w:color w:val="000000"/>
        </w:rPr>
      </w:pPr>
      <w:r w:rsidRPr="004E2DE5">
        <w:rPr>
          <w:rFonts w:ascii="Calibri" w:hAnsi="Calibri" w:cs="Calibri"/>
          <w:color w:val="000000"/>
        </w:rPr>
        <w:t xml:space="preserve">Amedco LLC designates this activity for a maximum of </w:t>
      </w:r>
      <w:r w:rsidRPr="004E2DE5">
        <w:rPr>
          <w:rStyle w:val="apple-converted-space"/>
          <w:rFonts w:ascii="Calibri" w:hAnsi="Calibri" w:cs="Calibri"/>
          <w:b/>
          <w:bCs/>
          <w:color w:val="000000"/>
        </w:rPr>
        <w:t xml:space="preserve">.50 </w:t>
      </w:r>
      <w:r w:rsidRPr="004E2DE5">
        <w:rPr>
          <w:rFonts w:ascii="Calibri" w:hAnsi="Calibri" w:cs="Calibri"/>
          <w:color w:val="000000"/>
        </w:rPr>
        <w:t xml:space="preserve"> knowledge-based CPE contact hours.</w:t>
      </w:r>
    </w:p>
    <w:p w14:paraId="31B44186" w14:textId="77777777" w:rsidR="002A2795" w:rsidRPr="004E2DE5" w:rsidRDefault="002A2795" w:rsidP="002A2795">
      <w:pPr>
        <w:ind w:right="-90"/>
        <w:rPr>
          <w:rFonts w:ascii="Calibri" w:hAnsi="Calibri" w:cs="Calibri"/>
          <w:color w:val="000000"/>
        </w:rPr>
      </w:pPr>
      <w:r w:rsidRPr="004E2DE5">
        <w:rPr>
          <w:rFonts w:ascii="Calibri" w:hAnsi="Calibri" w:cs="Calibri"/>
          <w:color w:val="000000"/>
        </w:rPr>
        <w:br/>
      </w:r>
      <w:r w:rsidRPr="004E2DE5">
        <w:rPr>
          <w:rFonts w:ascii="Calibri" w:hAnsi="Calibri" w:cs="Calibri"/>
          <w:b/>
          <w:color w:val="FF0000"/>
        </w:rPr>
        <w:t>NOTE to Pharmacists: The only official Statement of Credit is the one you pull from CPE Monitor. You must request your certificate within 30 days of your participation in the activity to meet the deadline for submission to CPE Monitor.</w:t>
      </w:r>
      <w:r w:rsidRPr="004E2DE5">
        <w:rPr>
          <w:rFonts w:ascii="Calibri" w:hAnsi="Calibri" w:cs="Calibri"/>
          <w:color w:val="000000"/>
        </w:rPr>
        <w:t> </w:t>
      </w:r>
    </w:p>
    <w:p w14:paraId="22B794FB" w14:textId="77777777" w:rsidR="00C044D5" w:rsidRPr="004E2DE5" w:rsidRDefault="00C044D5" w:rsidP="00C044D5">
      <w:pPr>
        <w:rPr>
          <w:rFonts w:ascii="Calibri" w:hAnsi="Calibri" w:cs="Calibri"/>
          <w:bCs/>
          <w:color w:val="000000" w:themeColor="text1"/>
        </w:rPr>
      </w:pPr>
    </w:p>
    <w:p w14:paraId="77DB2A89" w14:textId="77777777" w:rsidR="00C044D5" w:rsidRPr="004E2DE5" w:rsidRDefault="00C044D5" w:rsidP="00C044D5">
      <w:pPr>
        <w:pStyle w:val="Heading6"/>
        <w:rPr>
          <w:rFonts w:ascii="Calibri" w:hAnsi="Calibri" w:cs="Calibri"/>
          <w:color w:val="000000" w:themeColor="text1"/>
          <w:sz w:val="20"/>
          <w:u w:val="single"/>
        </w:rPr>
      </w:pPr>
      <w:r w:rsidRPr="004E2DE5">
        <w:rPr>
          <w:rFonts w:ascii="Calibri" w:hAnsi="Calibri" w:cs="Calibri"/>
          <w:color w:val="000000" w:themeColor="text1"/>
          <w:sz w:val="20"/>
          <w:u w:val="single"/>
        </w:rPr>
        <w:t>Objectives - After Attending This Program You Should Be Able To</w:t>
      </w:r>
    </w:p>
    <w:p w14:paraId="4709E1FD" w14:textId="3BCA2E22" w:rsidR="004E2DE5" w:rsidRPr="004E2DE5" w:rsidRDefault="004E2DE5" w:rsidP="004E2DE5">
      <w:pPr>
        <w:pStyle w:val="ListParagraph"/>
        <w:numPr>
          <w:ilvl w:val="0"/>
          <w:numId w:val="20"/>
        </w:numPr>
        <w:ind w:right="150"/>
        <w:rPr>
          <w:rFonts w:ascii="Calibri" w:hAnsi="Calibri" w:cs="Calibri"/>
          <w:bCs/>
        </w:rPr>
      </w:pPr>
      <w:r w:rsidRPr="004E2DE5">
        <w:rPr>
          <w:rFonts w:ascii="Calibri" w:hAnsi="Calibri" w:cs="Calibri"/>
          <w:bCs/>
        </w:rPr>
        <w:t>Understand the utility of novel biomarkers such as homologous repair deficiency (HRD) genomic instability for personalizing therapy in patients with ovarian cancer</w:t>
      </w:r>
      <w:r w:rsidR="00DD49A5">
        <w:rPr>
          <w:rFonts w:ascii="Calibri" w:hAnsi="Calibri" w:cs="Calibri"/>
          <w:bCs/>
        </w:rPr>
        <w:t>.</w:t>
      </w:r>
    </w:p>
    <w:p w14:paraId="780EC48A" w14:textId="5658A0C6" w:rsidR="004E2DE5" w:rsidRPr="004E2DE5" w:rsidRDefault="004E2DE5" w:rsidP="004E2DE5">
      <w:pPr>
        <w:pStyle w:val="ListParagraph"/>
        <w:numPr>
          <w:ilvl w:val="0"/>
          <w:numId w:val="20"/>
        </w:numPr>
        <w:ind w:right="150"/>
        <w:rPr>
          <w:rFonts w:ascii="Calibri" w:hAnsi="Calibri" w:cs="Calibri"/>
          <w:bCs/>
        </w:rPr>
      </w:pPr>
      <w:r w:rsidRPr="004E2DE5">
        <w:rPr>
          <w:rFonts w:ascii="Calibri" w:hAnsi="Calibri" w:cs="Calibri"/>
          <w:bCs/>
        </w:rPr>
        <w:t>Assess the clinical rationale for tumor and HRD genomic instability testing, including differentiation of germline/familial risk assessment versus tumor profiling for therapeutic implications in ovarian cancer patients</w:t>
      </w:r>
      <w:r w:rsidR="00DD49A5">
        <w:rPr>
          <w:rFonts w:ascii="Calibri" w:hAnsi="Calibri" w:cs="Calibri"/>
          <w:bCs/>
        </w:rPr>
        <w:t>.</w:t>
      </w:r>
    </w:p>
    <w:p w14:paraId="58767D07" w14:textId="61F0D52B" w:rsidR="004E2DE5" w:rsidRPr="004E2DE5" w:rsidRDefault="004E2DE5" w:rsidP="004E2DE5">
      <w:pPr>
        <w:pStyle w:val="ListParagraph"/>
        <w:numPr>
          <w:ilvl w:val="0"/>
          <w:numId w:val="20"/>
        </w:numPr>
        <w:ind w:right="150"/>
        <w:rPr>
          <w:rFonts w:ascii="Calibri" w:hAnsi="Calibri" w:cs="Calibri"/>
          <w:bCs/>
        </w:rPr>
      </w:pPr>
      <w:r w:rsidRPr="004E2DE5">
        <w:rPr>
          <w:rFonts w:ascii="Calibri" w:hAnsi="Calibri" w:cs="Calibri"/>
          <w:bCs/>
        </w:rPr>
        <w:t>Be better prepared to monitor and manage adverse events for emerging targeted therapies for patients with and ovarian cancer</w:t>
      </w:r>
      <w:r w:rsidR="00DD49A5">
        <w:rPr>
          <w:rFonts w:ascii="Calibri" w:hAnsi="Calibri" w:cs="Calibri"/>
          <w:bCs/>
        </w:rPr>
        <w:t>.</w:t>
      </w:r>
    </w:p>
    <w:p w14:paraId="33FBB8FD" w14:textId="2CC17F0D" w:rsidR="004E2DE5" w:rsidRPr="004E2DE5" w:rsidRDefault="004E2DE5" w:rsidP="004E2DE5">
      <w:pPr>
        <w:pStyle w:val="ListParagraph"/>
        <w:numPr>
          <w:ilvl w:val="0"/>
          <w:numId w:val="20"/>
        </w:numPr>
        <w:ind w:right="150"/>
        <w:rPr>
          <w:rFonts w:ascii="Calibri" w:hAnsi="Calibri" w:cs="Calibri"/>
          <w:bCs/>
        </w:rPr>
      </w:pPr>
      <w:r w:rsidRPr="004E2DE5">
        <w:rPr>
          <w:rFonts w:ascii="Calibri" w:hAnsi="Calibri" w:cs="Calibri"/>
          <w:bCs/>
        </w:rPr>
        <w:t>Be more familiar with implementing strategies to improve engage patients in shared decision-making regarding biomarker testing and personalized treatment in ovarian cancer throughout the continuum of care starting at diagnosis</w:t>
      </w:r>
      <w:r w:rsidR="00DD49A5">
        <w:rPr>
          <w:rFonts w:ascii="Calibri" w:hAnsi="Calibri" w:cs="Calibri"/>
          <w:bCs/>
        </w:rPr>
        <w:t>.</w:t>
      </w:r>
    </w:p>
    <w:p w14:paraId="31FF84F8" w14:textId="77777777" w:rsidR="004E2DE5" w:rsidRPr="004E2DE5" w:rsidRDefault="004E2DE5" w:rsidP="004E2DE5">
      <w:pPr>
        <w:spacing w:after="160" w:line="259" w:lineRule="auto"/>
        <w:contextualSpacing/>
        <w:rPr>
          <w:rFonts w:ascii="Calibri" w:hAnsi="Calibri" w:cs="Calibri"/>
          <w:color w:val="000000" w:themeColor="text1"/>
        </w:rPr>
      </w:pPr>
    </w:p>
    <w:p w14:paraId="0E87D6F8" w14:textId="64F1F98D" w:rsidR="00680919" w:rsidRPr="004E2DE5" w:rsidRDefault="00680919" w:rsidP="004E2DE5">
      <w:pPr>
        <w:spacing w:after="160" w:line="259" w:lineRule="auto"/>
        <w:contextualSpacing/>
        <w:rPr>
          <w:rFonts w:ascii="Calibri" w:hAnsi="Calibri" w:cs="Calibri"/>
          <w:b/>
          <w:noProof/>
          <w:color w:val="000000" w:themeColor="text1"/>
          <w:u w:val="single"/>
        </w:rPr>
      </w:pPr>
      <w:r w:rsidRPr="004E2DE5">
        <w:rPr>
          <w:rFonts w:ascii="Calibri" w:hAnsi="Calibri" w:cs="Calibri"/>
          <w:b/>
          <w:noProof/>
          <w:color w:val="000000" w:themeColor="text1"/>
          <w:u w:val="single"/>
        </w:rPr>
        <w:t>Disclosure of Conflict of Interest</w:t>
      </w:r>
    </w:p>
    <w:p w14:paraId="0C4EA550" w14:textId="77777777" w:rsidR="00680919" w:rsidRPr="004E2DE5" w:rsidRDefault="00680919" w:rsidP="00680919">
      <w:pPr>
        <w:pStyle w:val="BodyText"/>
        <w:rPr>
          <w:rFonts w:ascii="Calibri" w:hAnsi="Calibri" w:cs="Calibri"/>
          <w:color w:val="000000" w:themeColor="text1"/>
          <w:sz w:val="20"/>
        </w:rPr>
      </w:pPr>
      <w:r w:rsidRPr="004E2DE5">
        <w:rPr>
          <w:rFonts w:ascii="Calibri" w:hAnsi="Calibri" w:cs="Calibri"/>
          <w:color w:val="000000" w:themeColor="text1"/>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4E2DE5">
        <w:rPr>
          <w:rFonts w:ascii="Calibri" w:eastAsia="Calibri" w:hAnsi="Calibri" w:cs="Calibri"/>
          <w:color w:val="000000" w:themeColor="text1"/>
          <w:sz w:val="20"/>
        </w:rPr>
        <w:t>‐</w:t>
      </w:r>
      <w:r w:rsidRPr="004E2DE5">
        <w:rPr>
          <w:rFonts w:ascii="Calibri" w:hAnsi="Calibri" w:cs="Calibri"/>
          <w:color w:val="000000" w:themeColor="text1"/>
          <w:sz w:val="20"/>
        </w:rPr>
        <w:t xml:space="preserve">6.2, 6.5) </w:t>
      </w:r>
    </w:p>
    <w:p w14:paraId="4028B0E6" w14:textId="1D9578A4" w:rsidR="004E2DE5" w:rsidRDefault="004E2DE5">
      <w:pPr>
        <w:rPr>
          <w:rFonts w:ascii="Calibri" w:hAnsi="Calibri" w:cs="Calibri"/>
          <w:color w:val="000000" w:themeColor="text1"/>
          <w:lang w:val="x-none" w:eastAsia="x-none"/>
        </w:rPr>
      </w:pPr>
      <w:r>
        <w:rPr>
          <w:rFonts w:ascii="Calibri" w:hAnsi="Calibri" w:cs="Calibri"/>
          <w:color w:val="000000" w:themeColor="text1"/>
        </w:rPr>
        <w:br w:type="page"/>
      </w:r>
    </w:p>
    <w:p w14:paraId="0A41DEC2" w14:textId="77777777" w:rsidR="00FE76F2" w:rsidRPr="004E2DE5" w:rsidRDefault="00FE76F2" w:rsidP="00680919">
      <w:pPr>
        <w:pStyle w:val="BodyText"/>
        <w:rPr>
          <w:rFonts w:ascii="Calibri" w:hAnsi="Calibri" w:cs="Calibri"/>
          <w:color w:val="000000" w:themeColor="text1"/>
          <w:sz w:val="20"/>
        </w:rPr>
      </w:pPr>
    </w:p>
    <w:tbl>
      <w:tblPr>
        <w:tblW w:w="10795" w:type="dxa"/>
        <w:tblLook w:val="04A0" w:firstRow="1" w:lastRow="0" w:firstColumn="1" w:lastColumn="0" w:noHBand="0" w:noVBand="1"/>
      </w:tblPr>
      <w:tblGrid>
        <w:gridCol w:w="1180"/>
        <w:gridCol w:w="1208"/>
        <w:gridCol w:w="1198"/>
        <w:gridCol w:w="7209"/>
      </w:tblGrid>
      <w:tr w:rsidR="004E2DE5" w:rsidRPr="008837AC" w14:paraId="149D6906" w14:textId="77777777" w:rsidTr="004E2DE5">
        <w:trPr>
          <w:trHeight w:val="20"/>
        </w:trPr>
        <w:tc>
          <w:tcPr>
            <w:tcW w:w="1180" w:type="dxa"/>
            <w:tcBorders>
              <w:top w:val="single" w:sz="4" w:space="0" w:color="auto"/>
              <w:left w:val="single" w:sz="4" w:space="0" w:color="auto"/>
              <w:bottom w:val="single" w:sz="4" w:space="0" w:color="auto"/>
              <w:right w:val="single" w:sz="4" w:space="0" w:color="auto"/>
            </w:tcBorders>
            <w:shd w:val="clear" w:color="auto" w:fill="auto"/>
            <w:hideMark/>
          </w:tcPr>
          <w:p w14:paraId="3F481F51" w14:textId="77777777" w:rsidR="004E2DE5" w:rsidRPr="008837AC" w:rsidRDefault="004E2DE5" w:rsidP="004E2DE5">
            <w:pPr>
              <w:rPr>
                <w:rFonts w:ascii="Calibri" w:hAnsi="Calibri" w:cs="Calibri"/>
                <w:b/>
                <w:bCs/>
                <w:color w:val="000000"/>
                <w:sz w:val="18"/>
                <w:szCs w:val="18"/>
              </w:rPr>
            </w:pPr>
            <w:r w:rsidRPr="008837AC">
              <w:rPr>
                <w:rFonts w:ascii="Calibri" w:hAnsi="Calibri" w:cs="Calibri"/>
                <w:b/>
                <w:bCs/>
                <w:color w:val="000000"/>
                <w:sz w:val="18"/>
                <w:szCs w:val="18"/>
              </w:rPr>
              <w:t>First</w:t>
            </w:r>
          </w:p>
        </w:tc>
        <w:tc>
          <w:tcPr>
            <w:tcW w:w="1208" w:type="dxa"/>
            <w:tcBorders>
              <w:top w:val="single" w:sz="4" w:space="0" w:color="auto"/>
              <w:left w:val="nil"/>
              <w:bottom w:val="single" w:sz="4" w:space="0" w:color="auto"/>
              <w:right w:val="single" w:sz="4" w:space="0" w:color="auto"/>
            </w:tcBorders>
            <w:shd w:val="clear" w:color="auto" w:fill="auto"/>
            <w:hideMark/>
          </w:tcPr>
          <w:p w14:paraId="4CE62D15" w14:textId="77777777" w:rsidR="004E2DE5" w:rsidRPr="008837AC" w:rsidRDefault="004E2DE5" w:rsidP="004E2DE5">
            <w:pPr>
              <w:rPr>
                <w:rFonts w:ascii="Calibri" w:hAnsi="Calibri" w:cs="Calibri"/>
                <w:b/>
                <w:bCs/>
                <w:color w:val="000000"/>
                <w:sz w:val="18"/>
                <w:szCs w:val="18"/>
              </w:rPr>
            </w:pPr>
            <w:r w:rsidRPr="008837AC">
              <w:rPr>
                <w:rFonts w:ascii="Calibri" w:hAnsi="Calibri" w:cs="Calibri"/>
                <w:b/>
                <w:bCs/>
                <w:color w:val="000000"/>
                <w:sz w:val="18"/>
                <w:szCs w:val="18"/>
              </w:rPr>
              <w:t>Last</w:t>
            </w:r>
          </w:p>
        </w:tc>
        <w:tc>
          <w:tcPr>
            <w:tcW w:w="1198" w:type="dxa"/>
            <w:tcBorders>
              <w:top w:val="single" w:sz="4" w:space="0" w:color="auto"/>
              <w:left w:val="nil"/>
              <w:bottom w:val="single" w:sz="4" w:space="0" w:color="auto"/>
              <w:right w:val="single" w:sz="4" w:space="0" w:color="auto"/>
            </w:tcBorders>
            <w:shd w:val="clear" w:color="auto" w:fill="auto"/>
            <w:hideMark/>
          </w:tcPr>
          <w:p w14:paraId="355C637C" w14:textId="77777777" w:rsidR="004E2DE5" w:rsidRPr="008837AC" w:rsidRDefault="004E2DE5" w:rsidP="004E2DE5">
            <w:pPr>
              <w:rPr>
                <w:rFonts w:ascii="Calibri" w:hAnsi="Calibri" w:cs="Calibri"/>
                <w:b/>
                <w:bCs/>
                <w:color w:val="000000"/>
                <w:sz w:val="18"/>
                <w:szCs w:val="18"/>
              </w:rPr>
            </w:pPr>
            <w:r w:rsidRPr="008837AC">
              <w:rPr>
                <w:rFonts w:ascii="Calibri" w:hAnsi="Calibri" w:cs="Calibri"/>
                <w:b/>
                <w:bCs/>
                <w:color w:val="000000"/>
                <w:sz w:val="18"/>
                <w:szCs w:val="18"/>
              </w:rPr>
              <w:t>Role</w:t>
            </w:r>
          </w:p>
        </w:tc>
        <w:tc>
          <w:tcPr>
            <w:tcW w:w="7209" w:type="dxa"/>
            <w:tcBorders>
              <w:top w:val="single" w:sz="4" w:space="0" w:color="auto"/>
              <w:left w:val="nil"/>
              <w:bottom w:val="single" w:sz="4" w:space="0" w:color="auto"/>
              <w:right w:val="single" w:sz="4" w:space="0" w:color="auto"/>
            </w:tcBorders>
            <w:shd w:val="clear" w:color="auto" w:fill="auto"/>
            <w:hideMark/>
          </w:tcPr>
          <w:p w14:paraId="34615241" w14:textId="77777777" w:rsidR="004E2DE5" w:rsidRPr="008837AC" w:rsidRDefault="004E2DE5" w:rsidP="004E2DE5">
            <w:pPr>
              <w:rPr>
                <w:rFonts w:ascii="Calibri" w:hAnsi="Calibri" w:cs="Calibri"/>
                <w:b/>
                <w:bCs/>
                <w:color w:val="000000"/>
                <w:sz w:val="18"/>
                <w:szCs w:val="18"/>
              </w:rPr>
            </w:pPr>
            <w:r w:rsidRPr="008837AC">
              <w:rPr>
                <w:rFonts w:ascii="Calibri" w:hAnsi="Calibri" w:cs="Calibri"/>
                <w:b/>
                <w:bCs/>
                <w:color w:val="000000"/>
                <w:sz w:val="18"/>
                <w:szCs w:val="18"/>
              </w:rPr>
              <w:t>Commercial Interest</w:t>
            </w:r>
          </w:p>
        </w:tc>
      </w:tr>
      <w:tr w:rsidR="004E2DE5" w:rsidRPr="008837AC" w14:paraId="245D96BB" w14:textId="77777777" w:rsidTr="004E2DE5">
        <w:trPr>
          <w:trHeight w:val="20"/>
        </w:trPr>
        <w:tc>
          <w:tcPr>
            <w:tcW w:w="1180" w:type="dxa"/>
            <w:tcBorders>
              <w:top w:val="nil"/>
              <w:left w:val="single" w:sz="4" w:space="0" w:color="auto"/>
              <w:bottom w:val="single" w:sz="4" w:space="0" w:color="auto"/>
              <w:right w:val="single" w:sz="4" w:space="0" w:color="auto"/>
            </w:tcBorders>
            <w:shd w:val="clear" w:color="auto" w:fill="auto"/>
            <w:hideMark/>
          </w:tcPr>
          <w:p w14:paraId="75D2C3BF"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William</w:t>
            </w:r>
          </w:p>
        </w:tc>
        <w:tc>
          <w:tcPr>
            <w:tcW w:w="1208" w:type="dxa"/>
            <w:tcBorders>
              <w:top w:val="nil"/>
              <w:left w:val="nil"/>
              <w:bottom w:val="single" w:sz="4" w:space="0" w:color="auto"/>
              <w:right w:val="single" w:sz="4" w:space="0" w:color="auto"/>
            </w:tcBorders>
            <w:shd w:val="clear" w:color="auto" w:fill="auto"/>
            <w:hideMark/>
          </w:tcPr>
          <w:p w14:paraId="31AC7BE9"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Burke</w:t>
            </w:r>
          </w:p>
        </w:tc>
        <w:tc>
          <w:tcPr>
            <w:tcW w:w="1198" w:type="dxa"/>
            <w:tcBorders>
              <w:top w:val="nil"/>
              <w:left w:val="nil"/>
              <w:bottom w:val="single" w:sz="4" w:space="0" w:color="auto"/>
              <w:right w:val="single" w:sz="4" w:space="0" w:color="auto"/>
            </w:tcBorders>
            <w:shd w:val="clear" w:color="auto" w:fill="auto"/>
            <w:hideMark/>
          </w:tcPr>
          <w:p w14:paraId="411A677F"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Planner, Chair</w:t>
            </w:r>
          </w:p>
        </w:tc>
        <w:tc>
          <w:tcPr>
            <w:tcW w:w="7209" w:type="dxa"/>
            <w:tcBorders>
              <w:top w:val="nil"/>
              <w:left w:val="nil"/>
              <w:bottom w:val="single" w:sz="4" w:space="0" w:color="auto"/>
              <w:right w:val="single" w:sz="4" w:space="0" w:color="auto"/>
            </w:tcBorders>
            <w:shd w:val="clear" w:color="auto" w:fill="auto"/>
            <w:hideMark/>
          </w:tcPr>
          <w:p w14:paraId="2D01426A"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NA</w:t>
            </w:r>
          </w:p>
        </w:tc>
      </w:tr>
      <w:tr w:rsidR="004E2DE5" w:rsidRPr="008837AC" w14:paraId="0AF2D6E2" w14:textId="77777777" w:rsidTr="004E2DE5">
        <w:trPr>
          <w:trHeight w:val="20"/>
        </w:trPr>
        <w:tc>
          <w:tcPr>
            <w:tcW w:w="1180" w:type="dxa"/>
            <w:tcBorders>
              <w:top w:val="nil"/>
              <w:left w:val="single" w:sz="4" w:space="0" w:color="auto"/>
              <w:bottom w:val="single" w:sz="4" w:space="0" w:color="auto"/>
              <w:right w:val="single" w:sz="4" w:space="0" w:color="auto"/>
            </w:tcBorders>
            <w:shd w:val="clear" w:color="auto" w:fill="auto"/>
            <w:hideMark/>
          </w:tcPr>
          <w:p w14:paraId="356C3C95"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Robert</w:t>
            </w:r>
          </w:p>
        </w:tc>
        <w:tc>
          <w:tcPr>
            <w:tcW w:w="1208" w:type="dxa"/>
            <w:tcBorders>
              <w:top w:val="nil"/>
              <w:left w:val="nil"/>
              <w:bottom w:val="single" w:sz="4" w:space="0" w:color="auto"/>
              <w:right w:val="single" w:sz="4" w:space="0" w:color="auto"/>
            </w:tcBorders>
            <w:shd w:val="clear" w:color="auto" w:fill="auto"/>
            <w:hideMark/>
          </w:tcPr>
          <w:p w14:paraId="145CDFE5"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Coleman</w:t>
            </w:r>
          </w:p>
        </w:tc>
        <w:tc>
          <w:tcPr>
            <w:tcW w:w="1198" w:type="dxa"/>
            <w:tcBorders>
              <w:top w:val="nil"/>
              <w:left w:val="nil"/>
              <w:bottom w:val="single" w:sz="4" w:space="0" w:color="auto"/>
              <w:right w:val="single" w:sz="4" w:space="0" w:color="auto"/>
            </w:tcBorders>
            <w:shd w:val="clear" w:color="auto" w:fill="auto"/>
            <w:hideMark/>
          </w:tcPr>
          <w:p w14:paraId="4A061DC5"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Speaker, Planner</w:t>
            </w:r>
          </w:p>
        </w:tc>
        <w:tc>
          <w:tcPr>
            <w:tcW w:w="7209" w:type="dxa"/>
            <w:tcBorders>
              <w:top w:val="nil"/>
              <w:left w:val="nil"/>
              <w:bottom w:val="single" w:sz="4" w:space="0" w:color="auto"/>
              <w:right w:val="single" w:sz="4" w:space="0" w:color="auto"/>
            </w:tcBorders>
            <w:shd w:val="clear" w:color="auto" w:fill="auto"/>
            <w:hideMark/>
          </w:tcPr>
          <w:p w14:paraId="67B0F6A4" w14:textId="77777777" w:rsidR="004E2DE5" w:rsidRPr="008837AC" w:rsidRDefault="004E2DE5" w:rsidP="004E2DE5">
            <w:pPr>
              <w:rPr>
                <w:rFonts w:ascii="Calibri" w:hAnsi="Calibri" w:cs="Calibri"/>
                <w:color w:val="000000"/>
                <w:sz w:val="18"/>
                <w:szCs w:val="18"/>
              </w:rPr>
            </w:pPr>
            <w:proofErr w:type="spellStart"/>
            <w:r w:rsidRPr="008837AC">
              <w:rPr>
                <w:rFonts w:ascii="Calibri" w:hAnsi="Calibri" w:cs="Calibri"/>
                <w:color w:val="000000"/>
                <w:sz w:val="18"/>
                <w:szCs w:val="18"/>
              </w:rPr>
              <w:t>Abbvie:Research</w:t>
            </w:r>
            <w:proofErr w:type="spellEnd"/>
            <w:r w:rsidRPr="008837AC">
              <w:rPr>
                <w:rFonts w:ascii="Calibri" w:hAnsi="Calibri" w:cs="Calibri"/>
                <w:color w:val="000000"/>
                <w:sz w:val="18"/>
                <w:szCs w:val="18"/>
              </w:rPr>
              <w:t xml:space="preserve"> Grant Overall Principal </w:t>
            </w:r>
            <w:proofErr w:type="spellStart"/>
            <w:r w:rsidRPr="008837AC">
              <w:rPr>
                <w:rFonts w:ascii="Calibri" w:hAnsi="Calibri" w:cs="Calibri"/>
                <w:color w:val="000000"/>
                <w:sz w:val="18"/>
                <w:szCs w:val="18"/>
              </w:rPr>
              <w:t>Investigator,Amgen:Scientific</w:t>
            </w:r>
            <w:proofErr w:type="spellEnd"/>
            <w:r w:rsidRPr="008837AC">
              <w:rPr>
                <w:rFonts w:ascii="Calibri" w:hAnsi="Calibri" w:cs="Calibri"/>
                <w:color w:val="000000"/>
                <w:sz w:val="18"/>
                <w:szCs w:val="18"/>
              </w:rPr>
              <w:t xml:space="preserve">/Medical Advisory Board </w:t>
            </w:r>
            <w:proofErr w:type="spellStart"/>
            <w:r w:rsidRPr="008837AC">
              <w:rPr>
                <w:rFonts w:ascii="Calibri" w:hAnsi="Calibri" w:cs="Calibri"/>
                <w:color w:val="000000"/>
                <w:sz w:val="18"/>
                <w:szCs w:val="18"/>
              </w:rPr>
              <w:t>Member,Clovis:Research</w:t>
            </w:r>
            <w:proofErr w:type="spellEnd"/>
            <w:r w:rsidRPr="008837AC">
              <w:rPr>
                <w:rFonts w:ascii="Calibri" w:hAnsi="Calibri" w:cs="Calibri"/>
                <w:color w:val="000000"/>
                <w:sz w:val="18"/>
                <w:szCs w:val="18"/>
              </w:rPr>
              <w:t xml:space="preserve"> Grant Overall Principal </w:t>
            </w:r>
            <w:proofErr w:type="spellStart"/>
            <w:r w:rsidRPr="008837AC">
              <w:rPr>
                <w:rFonts w:ascii="Calibri" w:hAnsi="Calibri" w:cs="Calibri"/>
                <w:color w:val="000000"/>
                <w:sz w:val="18"/>
                <w:szCs w:val="18"/>
              </w:rPr>
              <w:t>Investigator,Eisai:Scientific</w:t>
            </w:r>
            <w:proofErr w:type="spellEnd"/>
            <w:r w:rsidRPr="008837AC">
              <w:rPr>
                <w:rFonts w:ascii="Calibri" w:hAnsi="Calibri" w:cs="Calibri"/>
                <w:color w:val="000000"/>
                <w:sz w:val="18"/>
                <w:szCs w:val="18"/>
              </w:rPr>
              <w:t xml:space="preserve">/Medical Advisory Board </w:t>
            </w:r>
            <w:proofErr w:type="spellStart"/>
            <w:r w:rsidRPr="008837AC">
              <w:rPr>
                <w:rFonts w:ascii="Calibri" w:hAnsi="Calibri" w:cs="Calibri"/>
                <w:color w:val="000000"/>
                <w:sz w:val="18"/>
                <w:szCs w:val="18"/>
              </w:rPr>
              <w:t>Member,Gsk:Scientific</w:t>
            </w:r>
            <w:proofErr w:type="spellEnd"/>
            <w:r w:rsidRPr="008837AC">
              <w:rPr>
                <w:rFonts w:ascii="Calibri" w:hAnsi="Calibri" w:cs="Calibri"/>
                <w:color w:val="000000"/>
                <w:sz w:val="18"/>
                <w:szCs w:val="18"/>
              </w:rPr>
              <w:t xml:space="preserve">/Medical Advisory Board </w:t>
            </w:r>
            <w:proofErr w:type="spellStart"/>
            <w:r w:rsidRPr="008837AC">
              <w:rPr>
                <w:rFonts w:ascii="Calibri" w:hAnsi="Calibri" w:cs="Calibri"/>
                <w:color w:val="000000"/>
                <w:sz w:val="18"/>
                <w:szCs w:val="18"/>
              </w:rPr>
              <w:t>Member,Novocure:Scientific</w:t>
            </w:r>
            <w:proofErr w:type="spellEnd"/>
            <w:r w:rsidRPr="008837AC">
              <w:rPr>
                <w:rFonts w:ascii="Calibri" w:hAnsi="Calibri" w:cs="Calibri"/>
                <w:color w:val="000000"/>
                <w:sz w:val="18"/>
                <w:szCs w:val="18"/>
              </w:rPr>
              <w:t xml:space="preserve">/Medical Advisory Board </w:t>
            </w:r>
            <w:proofErr w:type="spellStart"/>
            <w:r w:rsidRPr="008837AC">
              <w:rPr>
                <w:rFonts w:ascii="Calibri" w:hAnsi="Calibri" w:cs="Calibri"/>
                <w:color w:val="000000"/>
                <w:sz w:val="18"/>
                <w:szCs w:val="18"/>
              </w:rPr>
              <w:t>Member,Immunogen</w:t>
            </w:r>
            <w:proofErr w:type="spellEnd"/>
            <w:r w:rsidRPr="008837AC">
              <w:rPr>
                <w:rFonts w:ascii="Calibri" w:hAnsi="Calibri" w:cs="Calibri"/>
                <w:color w:val="000000"/>
                <w:sz w:val="18"/>
                <w:szCs w:val="18"/>
              </w:rPr>
              <w:t xml:space="preserve"> :Research Grant Overall Principal </w:t>
            </w:r>
            <w:proofErr w:type="spellStart"/>
            <w:r w:rsidRPr="008837AC">
              <w:rPr>
                <w:rFonts w:ascii="Calibri" w:hAnsi="Calibri" w:cs="Calibri"/>
                <w:color w:val="000000"/>
                <w:sz w:val="18"/>
                <w:szCs w:val="18"/>
              </w:rPr>
              <w:t>Investigator,Janssen:Research</w:t>
            </w:r>
            <w:proofErr w:type="spellEnd"/>
            <w:r w:rsidRPr="008837AC">
              <w:rPr>
                <w:rFonts w:ascii="Calibri" w:hAnsi="Calibri" w:cs="Calibri"/>
                <w:color w:val="000000"/>
                <w:sz w:val="18"/>
                <w:szCs w:val="18"/>
              </w:rPr>
              <w:t xml:space="preserve"> Grant Site Principal </w:t>
            </w:r>
            <w:proofErr w:type="spellStart"/>
            <w:r w:rsidRPr="008837AC">
              <w:rPr>
                <w:rFonts w:ascii="Calibri" w:hAnsi="Calibri" w:cs="Calibri"/>
                <w:color w:val="000000"/>
                <w:sz w:val="18"/>
                <w:szCs w:val="18"/>
              </w:rPr>
              <w:t>Investigator,Onxeo:Scientific</w:t>
            </w:r>
            <w:proofErr w:type="spellEnd"/>
            <w:r w:rsidRPr="008837AC">
              <w:rPr>
                <w:rFonts w:ascii="Calibri" w:hAnsi="Calibri" w:cs="Calibri"/>
                <w:color w:val="000000"/>
                <w:sz w:val="18"/>
                <w:szCs w:val="18"/>
              </w:rPr>
              <w:t xml:space="preserve">/Medical Advisory Board </w:t>
            </w:r>
            <w:proofErr w:type="spellStart"/>
            <w:r w:rsidRPr="008837AC">
              <w:rPr>
                <w:rFonts w:ascii="Calibri" w:hAnsi="Calibri" w:cs="Calibri"/>
                <w:color w:val="000000"/>
                <w:sz w:val="18"/>
                <w:szCs w:val="18"/>
              </w:rPr>
              <w:t>Member,AstraZeneca</w:t>
            </w:r>
            <w:proofErr w:type="spellEnd"/>
            <w:r w:rsidRPr="008837AC">
              <w:rPr>
                <w:rFonts w:ascii="Calibri" w:hAnsi="Calibri" w:cs="Calibri"/>
                <w:color w:val="000000"/>
                <w:sz w:val="18"/>
                <w:szCs w:val="18"/>
              </w:rPr>
              <w:t xml:space="preserve"> :Scientific/Medical Advisory Board </w:t>
            </w:r>
            <w:proofErr w:type="spellStart"/>
            <w:r w:rsidRPr="008837AC">
              <w:rPr>
                <w:rFonts w:ascii="Calibri" w:hAnsi="Calibri" w:cs="Calibri"/>
                <w:color w:val="000000"/>
                <w:sz w:val="18"/>
                <w:szCs w:val="18"/>
              </w:rPr>
              <w:t>Member,Alkermes:Scientific</w:t>
            </w:r>
            <w:proofErr w:type="spellEnd"/>
            <w:r w:rsidRPr="008837AC">
              <w:rPr>
                <w:rFonts w:ascii="Calibri" w:hAnsi="Calibri" w:cs="Calibri"/>
                <w:color w:val="000000"/>
                <w:sz w:val="18"/>
                <w:szCs w:val="18"/>
              </w:rPr>
              <w:t xml:space="preserve">/Medical Advisory Board </w:t>
            </w:r>
            <w:proofErr w:type="spellStart"/>
            <w:r w:rsidRPr="008837AC">
              <w:rPr>
                <w:rFonts w:ascii="Calibri" w:hAnsi="Calibri" w:cs="Calibri"/>
                <w:color w:val="000000"/>
                <w:sz w:val="18"/>
                <w:szCs w:val="18"/>
              </w:rPr>
              <w:t>Member,Oncomed:Scientific</w:t>
            </w:r>
            <w:proofErr w:type="spellEnd"/>
            <w:r w:rsidRPr="008837AC">
              <w:rPr>
                <w:rFonts w:ascii="Calibri" w:hAnsi="Calibri" w:cs="Calibri"/>
                <w:color w:val="000000"/>
                <w:sz w:val="18"/>
                <w:szCs w:val="18"/>
              </w:rPr>
              <w:t>/Medical Advisory Board Member</w:t>
            </w:r>
          </w:p>
        </w:tc>
      </w:tr>
      <w:tr w:rsidR="004E2DE5" w:rsidRPr="008837AC" w14:paraId="005FB7A0" w14:textId="77777777" w:rsidTr="004E2DE5">
        <w:trPr>
          <w:trHeight w:val="20"/>
        </w:trPr>
        <w:tc>
          <w:tcPr>
            <w:tcW w:w="1180" w:type="dxa"/>
            <w:tcBorders>
              <w:top w:val="nil"/>
              <w:left w:val="single" w:sz="4" w:space="0" w:color="auto"/>
              <w:bottom w:val="single" w:sz="4" w:space="0" w:color="auto"/>
              <w:right w:val="single" w:sz="4" w:space="0" w:color="auto"/>
            </w:tcBorders>
            <w:shd w:val="clear" w:color="auto" w:fill="auto"/>
            <w:hideMark/>
          </w:tcPr>
          <w:p w14:paraId="212A65C2"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Charles</w:t>
            </w:r>
          </w:p>
        </w:tc>
        <w:tc>
          <w:tcPr>
            <w:tcW w:w="1208" w:type="dxa"/>
            <w:tcBorders>
              <w:top w:val="nil"/>
              <w:left w:val="nil"/>
              <w:bottom w:val="single" w:sz="4" w:space="0" w:color="auto"/>
              <w:right w:val="single" w:sz="4" w:space="0" w:color="auto"/>
            </w:tcBorders>
            <w:shd w:val="clear" w:color="auto" w:fill="auto"/>
            <w:hideMark/>
          </w:tcPr>
          <w:p w14:paraId="728E8C27"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Drescher</w:t>
            </w:r>
          </w:p>
        </w:tc>
        <w:tc>
          <w:tcPr>
            <w:tcW w:w="1198" w:type="dxa"/>
            <w:tcBorders>
              <w:top w:val="nil"/>
              <w:left w:val="nil"/>
              <w:bottom w:val="single" w:sz="4" w:space="0" w:color="auto"/>
              <w:right w:val="single" w:sz="4" w:space="0" w:color="auto"/>
            </w:tcBorders>
            <w:shd w:val="clear" w:color="auto" w:fill="auto"/>
            <w:hideMark/>
          </w:tcPr>
          <w:p w14:paraId="61A3BBB6"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Planner</w:t>
            </w:r>
          </w:p>
        </w:tc>
        <w:tc>
          <w:tcPr>
            <w:tcW w:w="7209" w:type="dxa"/>
            <w:tcBorders>
              <w:top w:val="nil"/>
              <w:left w:val="nil"/>
              <w:bottom w:val="single" w:sz="4" w:space="0" w:color="auto"/>
              <w:right w:val="single" w:sz="4" w:space="0" w:color="auto"/>
            </w:tcBorders>
            <w:shd w:val="clear" w:color="auto" w:fill="auto"/>
            <w:hideMark/>
          </w:tcPr>
          <w:p w14:paraId="61652595"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NA</w:t>
            </w:r>
          </w:p>
        </w:tc>
      </w:tr>
      <w:tr w:rsidR="004E2DE5" w:rsidRPr="008837AC" w14:paraId="336BA7D3" w14:textId="77777777" w:rsidTr="004E2DE5">
        <w:trPr>
          <w:trHeight w:val="20"/>
        </w:trPr>
        <w:tc>
          <w:tcPr>
            <w:tcW w:w="1180" w:type="dxa"/>
            <w:tcBorders>
              <w:top w:val="nil"/>
              <w:left w:val="single" w:sz="4" w:space="0" w:color="auto"/>
              <w:bottom w:val="single" w:sz="4" w:space="0" w:color="auto"/>
              <w:right w:val="single" w:sz="4" w:space="0" w:color="auto"/>
            </w:tcBorders>
            <w:shd w:val="clear" w:color="auto" w:fill="auto"/>
            <w:hideMark/>
          </w:tcPr>
          <w:p w14:paraId="73141737"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John</w:t>
            </w:r>
          </w:p>
        </w:tc>
        <w:tc>
          <w:tcPr>
            <w:tcW w:w="1208" w:type="dxa"/>
            <w:tcBorders>
              <w:top w:val="nil"/>
              <w:left w:val="nil"/>
              <w:bottom w:val="single" w:sz="4" w:space="0" w:color="auto"/>
              <w:right w:val="single" w:sz="4" w:space="0" w:color="auto"/>
            </w:tcBorders>
            <w:shd w:val="clear" w:color="auto" w:fill="auto"/>
            <w:hideMark/>
          </w:tcPr>
          <w:p w14:paraId="64CB8B9F"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Farley</w:t>
            </w:r>
          </w:p>
        </w:tc>
        <w:tc>
          <w:tcPr>
            <w:tcW w:w="1198" w:type="dxa"/>
            <w:tcBorders>
              <w:top w:val="nil"/>
              <w:left w:val="nil"/>
              <w:bottom w:val="single" w:sz="4" w:space="0" w:color="auto"/>
              <w:right w:val="single" w:sz="4" w:space="0" w:color="auto"/>
            </w:tcBorders>
            <w:shd w:val="clear" w:color="auto" w:fill="auto"/>
            <w:hideMark/>
          </w:tcPr>
          <w:p w14:paraId="6FB8378A"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Planning Committee</w:t>
            </w:r>
          </w:p>
        </w:tc>
        <w:tc>
          <w:tcPr>
            <w:tcW w:w="7209" w:type="dxa"/>
            <w:tcBorders>
              <w:top w:val="nil"/>
              <w:left w:val="nil"/>
              <w:bottom w:val="single" w:sz="4" w:space="0" w:color="auto"/>
              <w:right w:val="single" w:sz="4" w:space="0" w:color="auto"/>
            </w:tcBorders>
            <w:shd w:val="clear" w:color="auto" w:fill="auto"/>
            <w:hideMark/>
          </w:tcPr>
          <w:p w14:paraId="09378EBD"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NA</w:t>
            </w:r>
          </w:p>
        </w:tc>
      </w:tr>
      <w:tr w:rsidR="004E2DE5" w:rsidRPr="008837AC" w14:paraId="1FBFFAD0" w14:textId="77777777" w:rsidTr="004E2DE5">
        <w:trPr>
          <w:trHeight w:val="20"/>
        </w:trPr>
        <w:tc>
          <w:tcPr>
            <w:tcW w:w="1180" w:type="dxa"/>
            <w:tcBorders>
              <w:top w:val="nil"/>
              <w:left w:val="single" w:sz="4" w:space="0" w:color="auto"/>
              <w:bottom w:val="single" w:sz="4" w:space="0" w:color="auto"/>
              <w:right w:val="single" w:sz="4" w:space="0" w:color="auto"/>
            </w:tcBorders>
            <w:shd w:val="clear" w:color="auto" w:fill="auto"/>
            <w:hideMark/>
          </w:tcPr>
          <w:p w14:paraId="44122836"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Melissa</w:t>
            </w:r>
          </w:p>
        </w:tc>
        <w:tc>
          <w:tcPr>
            <w:tcW w:w="1208" w:type="dxa"/>
            <w:tcBorders>
              <w:top w:val="nil"/>
              <w:left w:val="nil"/>
              <w:bottom w:val="single" w:sz="4" w:space="0" w:color="auto"/>
              <w:right w:val="single" w:sz="4" w:space="0" w:color="auto"/>
            </w:tcBorders>
            <w:shd w:val="clear" w:color="auto" w:fill="auto"/>
            <w:hideMark/>
          </w:tcPr>
          <w:p w14:paraId="079D824D"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Hardesty</w:t>
            </w:r>
          </w:p>
        </w:tc>
        <w:tc>
          <w:tcPr>
            <w:tcW w:w="1198" w:type="dxa"/>
            <w:tcBorders>
              <w:top w:val="nil"/>
              <w:left w:val="nil"/>
              <w:bottom w:val="single" w:sz="4" w:space="0" w:color="auto"/>
              <w:right w:val="single" w:sz="4" w:space="0" w:color="auto"/>
            </w:tcBorders>
            <w:shd w:val="clear" w:color="auto" w:fill="auto"/>
            <w:hideMark/>
          </w:tcPr>
          <w:p w14:paraId="409C7FEA"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Speaker, Reviewer, Planner, Moderator, Planning Committee</w:t>
            </w:r>
          </w:p>
        </w:tc>
        <w:tc>
          <w:tcPr>
            <w:tcW w:w="7209" w:type="dxa"/>
            <w:tcBorders>
              <w:top w:val="nil"/>
              <w:left w:val="nil"/>
              <w:bottom w:val="single" w:sz="4" w:space="0" w:color="auto"/>
              <w:right w:val="single" w:sz="4" w:space="0" w:color="auto"/>
            </w:tcBorders>
            <w:shd w:val="clear" w:color="auto" w:fill="auto"/>
            <w:hideMark/>
          </w:tcPr>
          <w:p w14:paraId="4EE419D6" w14:textId="77777777" w:rsidR="004E2DE5" w:rsidRPr="008837AC" w:rsidRDefault="004E2DE5" w:rsidP="004E2DE5">
            <w:pPr>
              <w:rPr>
                <w:rFonts w:ascii="Calibri" w:hAnsi="Calibri" w:cs="Calibri"/>
                <w:color w:val="000000"/>
                <w:sz w:val="18"/>
                <w:szCs w:val="18"/>
              </w:rPr>
            </w:pPr>
            <w:proofErr w:type="spellStart"/>
            <w:r w:rsidRPr="008837AC">
              <w:rPr>
                <w:rFonts w:ascii="Calibri" w:hAnsi="Calibri" w:cs="Calibri"/>
                <w:color w:val="000000"/>
                <w:sz w:val="18"/>
                <w:szCs w:val="18"/>
              </w:rPr>
              <w:t>AstraZeneca-Mereck:Consultant</w:t>
            </w:r>
            <w:proofErr w:type="spellEnd"/>
          </w:p>
        </w:tc>
      </w:tr>
      <w:tr w:rsidR="004E2DE5" w:rsidRPr="008837AC" w14:paraId="360DCB4D" w14:textId="77777777" w:rsidTr="004E2DE5">
        <w:trPr>
          <w:trHeight w:val="20"/>
        </w:trPr>
        <w:tc>
          <w:tcPr>
            <w:tcW w:w="1180" w:type="dxa"/>
            <w:tcBorders>
              <w:top w:val="nil"/>
              <w:left w:val="single" w:sz="4" w:space="0" w:color="auto"/>
              <w:bottom w:val="single" w:sz="4" w:space="0" w:color="auto"/>
              <w:right w:val="single" w:sz="4" w:space="0" w:color="auto"/>
            </w:tcBorders>
            <w:shd w:val="clear" w:color="auto" w:fill="auto"/>
            <w:hideMark/>
          </w:tcPr>
          <w:p w14:paraId="2305CFC3"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Jeff</w:t>
            </w:r>
          </w:p>
        </w:tc>
        <w:tc>
          <w:tcPr>
            <w:tcW w:w="1208" w:type="dxa"/>
            <w:tcBorders>
              <w:top w:val="nil"/>
              <w:left w:val="nil"/>
              <w:bottom w:val="single" w:sz="4" w:space="0" w:color="auto"/>
              <w:right w:val="single" w:sz="4" w:space="0" w:color="auto"/>
            </w:tcBorders>
            <w:shd w:val="clear" w:color="auto" w:fill="auto"/>
            <w:hideMark/>
          </w:tcPr>
          <w:p w14:paraId="31002948"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Lin</w:t>
            </w:r>
          </w:p>
        </w:tc>
        <w:tc>
          <w:tcPr>
            <w:tcW w:w="1198" w:type="dxa"/>
            <w:tcBorders>
              <w:top w:val="nil"/>
              <w:left w:val="nil"/>
              <w:bottom w:val="single" w:sz="4" w:space="0" w:color="auto"/>
              <w:right w:val="single" w:sz="4" w:space="0" w:color="auto"/>
            </w:tcBorders>
            <w:shd w:val="clear" w:color="auto" w:fill="auto"/>
            <w:hideMark/>
          </w:tcPr>
          <w:p w14:paraId="6E3C86E5"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Planning Committee</w:t>
            </w:r>
          </w:p>
        </w:tc>
        <w:tc>
          <w:tcPr>
            <w:tcW w:w="7209" w:type="dxa"/>
            <w:tcBorders>
              <w:top w:val="nil"/>
              <w:left w:val="nil"/>
              <w:bottom w:val="single" w:sz="4" w:space="0" w:color="auto"/>
              <w:right w:val="single" w:sz="4" w:space="0" w:color="auto"/>
            </w:tcBorders>
            <w:shd w:val="clear" w:color="auto" w:fill="auto"/>
            <w:hideMark/>
          </w:tcPr>
          <w:p w14:paraId="230FF3EF"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 xml:space="preserve">C-SATS/Johnson and </w:t>
            </w:r>
            <w:proofErr w:type="spellStart"/>
            <w:r w:rsidRPr="008837AC">
              <w:rPr>
                <w:rFonts w:ascii="Calibri" w:hAnsi="Calibri" w:cs="Calibri"/>
                <w:color w:val="000000"/>
                <w:sz w:val="18"/>
                <w:szCs w:val="18"/>
              </w:rPr>
              <w:t>Johnson:Consultant</w:t>
            </w:r>
            <w:proofErr w:type="spellEnd"/>
          </w:p>
        </w:tc>
      </w:tr>
      <w:tr w:rsidR="004E2DE5" w:rsidRPr="008837AC" w14:paraId="44C3B74A" w14:textId="77777777" w:rsidTr="004E2DE5">
        <w:trPr>
          <w:trHeight w:val="20"/>
        </w:trPr>
        <w:tc>
          <w:tcPr>
            <w:tcW w:w="1180" w:type="dxa"/>
            <w:tcBorders>
              <w:top w:val="nil"/>
              <w:left w:val="single" w:sz="4" w:space="0" w:color="auto"/>
              <w:bottom w:val="single" w:sz="4" w:space="0" w:color="auto"/>
              <w:right w:val="single" w:sz="4" w:space="0" w:color="auto"/>
            </w:tcBorders>
            <w:shd w:val="clear" w:color="auto" w:fill="auto"/>
            <w:hideMark/>
          </w:tcPr>
          <w:p w14:paraId="4A3D1AA5"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Erin</w:t>
            </w:r>
          </w:p>
        </w:tc>
        <w:tc>
          <w:tcPr>
            <w:tcW w:w="1208" w:type="dxa"/>
            <w:tcBorders>
              <w:top w:val="nil"/>
              <w:left w:val="nil"/>
              <w:bottom w:val="single" w:sz="4" w:space="0" w:color="auto"/>
              <w:right w:val="single" w:sz="4" w:space="0" w:color="auto"/>
            </w:tcBorders>
            <w:shd w:val="clear" w:color="auto" w:fill="auto"/>
            <w:hideMark/>
          </w:tcPr>
          <w:p w14:paraId="25340555"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Lips</w:t>
            </w:r>
          </w:p>
        </w:tc>
        <w:tc>
          <w:tcPr>
            <w:tcW w:w="1198" w:type="dxa"/>
            <w:tcBorders>
              <w:top w:val="nil"/>
              <w:left w:val="nil"/>
              <w:bottom w:val="single" w:sz="4" w:space="0" w:color="auto"/>
              <w:right w:val="single" w:sz="4" w:space="0" w:color="auto"/>
            </w:tcBorders>
            <w:shd w:val="clear" w:color="auto" w:fill="auto"/>
            <w:hideMark/>
          </w:tcPr>
          <w:p w14:paraId="57BD5C1A"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Speaker</w:t>
            </w:r>
          </w:p>
        </w:tc>
        <w:tc>
          <w:tcPr>
            <w:tcW w:w="7209" w:type="dxa"/>
            <w:tcBorders>
              <w:top w:val="nil"/>
              <w:left w:val="nil"/>
              <w:bottom w:val="single" w:sz="4" w:space="0" w:color="auto"/>
              <w:right w:val="single" w:sz="4" w:space="0" w:color="auto"/>
            </w:tcBorders>
            <w:shd w:val="clear" w:color="auto" w:fill="auto"/>
            <w:hideMark/>
          </w:tcPr>
          <w:p w14:paraId="16834390"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NA</w:t>
            </w:r>
          </w:p>
        </w:tc>
      </w:tr>
      <w:tr w:rsidR="004E2DE5" w:rsidRPr="008837AC" w14:paraId="60FDC46B" w14:textId="77777777" w:rsidTr="004E2DE5">
        <w:trPr>
          <w:trHeight w:val="20"/>
        </w:trPr>
        <w:tc>
          <w:tcPr>
            <w:tcW w:w="1180" w:type="dxa"/>
            <w:tcBorders>
              <w:top w:val="nil"/>
              <w:left w:val="single" w:sz="4" w:space="0" w:color="auto"/>
              <w:bottom w:val="single" w:sz="4" w:space="0" w:color="auto"/>
              <w:right w:val="single" w:sz="4" w:space="0" w:color="auto"/>
            </w:tcBorders>
            <w:shd w:val="clear" w:color="auto" w:fill="auto"/>
            <w:hideMark/>
          </w:tcPr>
          <w:p w14:paraId="235B72C4"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Sandra</w:t>
            </w:r>
          </w:p>
        </w:tc>
        <w:tc>
          <w:tcPr>
            <w:tcW w:w="1208" w:type="dxa"/>
            <w:tcBorders>
              <w:top w:val="nil"/>
              <w:left w:val="nil"/>
              <w:bottom w:val="single" w:sz="4" w:space="0" w:color="auto"/>
              <w:right w:val="single" w:sz="4" w:space="0" w:color="auto"/>
            </w:tcBorders>
            <w:shd w:val="clear" w:color="auto" w:fill="auto"/>
            <w:hideMark/>
          </w:tcPr>
          <w:p w14:paraId="064E9DBA" w14:textId="77777777" w:rsidR="004E2DE5" w:rsidRPr="008837AC" w:rsidRDefault="004E2DE5" w:rsidP="004E2DE5">
            <w:pPr>
              <w:rPr>
                <w:rFonts w:ascii="Calibri" w:hAnsi="Calibri" w:cs="Calibri"/>
                <w:color w:val="000000"/>
                <w:sz w:val="18"/>
                <w:szCs w:val="18"/>
              </w:rPr>
            </w:pPr>
            <w:proofErr w:type="spellStart"/>
            <w:r w:rsidRPr="008837AC">
              <w:rPr>
                <w:rFonts w:ascii="Calibri" w:hAnsi="Calibri" w:cs="Calibri"/>
                <w:color w:val="000000"/>
                <w:sz w:val="18"/>
                <w:szCs w:val="18"/>
              </w:rPr>
              <w:t>Megally</w:t>
            </w:r>
            <w:proofErr w:type="spellEnd"/>
          </w:p>
        </w:tc>
        <w:tc>
          <w:tcPr>
            <w:tcW w:w="1198" w:type="dxa"/>
            <w:tcBorders>
              <w:top w:val="nil"/>
              <w:left w:val="nil"/>
              <w:bottom w:val="single" w:sz="4" w:space="0" w:color="auto"/>
              <w:right w:val="single" w:sz="4" w:space="0" w:color="auto"/>
            </w:tcBorders>
            <w:shd w:val="clear" w:color="auto" w:fill="auto"/>
            <w:hideMark/>
          </w:tcPr>
          <w:p w14:paraId="110597DA"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Planning Committee</w:t>
            </w:r>
          </w:p>
        </w:tc>
        <w:tc>
          <w:tcPr>
            <w:tcW w:w="7209" w:type="dxa"/>
            <w:tcBorders>
              <w:top w:val="nil"/>
              <w:left w:val="nil"/>
              <w:bottom w:val="single" w:sz="4" w:space="0" w:color="auto"/>
              <w:right w:val="single" w:sz="4" w:space="0" w:color="auto"/>
            </w:tcBorders>
            <w:shd w:val="clear" w:color="auto" w:fill="auto"/>
            <w:hideMark/>
          </w:tcPr>
          <w:p w14:paraId="1E9F5147"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NA</w:t>
            </w:r>
          </w:p>
        </w:tc>
      </w:tr>
      <w:tr w:rsidR="004E2DE5" w:rsidRPr="008837AC" w14:paraId="049532DE" w14:textId="77777777" w:rsidTr="004E2DE5">
        <w:trPr>
          <w:trHeight w:val="20"/>
        </w:trPr>
        <w:tc>
          <w:tcPr>
            <w:tcW w:w="1180" w:type="dxa"/>
            <w:tcBorders>
              <w:top w:val="nil"/>
              <w:left w:val="single" w:sz="4" w:space="0" w:color="auto"/>
              <w:bottom w:val="single" w:sz="4" w:space="0" w:color="auto"/>
              <w:right w:val="single" w:sz="4" w:space="0" w:color="auto"/>
            </w:tcBorders>
            <w:shd w:val="clear" w:color="auto" w:fill="auto"/>
            <w:noWrap/>
            <w:hideMark/>
          </w:tcPr>
          <w:p w14:paraId="02651C7C" w14:textId="7D925D4D"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 xml:space="preserve">Mary </w:t>
            </w:r>
          </w:p>
        </w:tc>
        <w:tc>
          <w:tcPr>
            <w:tcW w:w="1208" w:type="dxa"/>
            <w:tcBorders>
              <w:top w:val="nil"/>
              <w:left w:val="nil"/>
              <w:bottom w:val="single" w:sz="4" w:space="0" w:color="auto"/>
              <w:right w:val="single" w:sz="4" w:space="0" w:color="auto"/>
            </w:tcBorders>
            <w:shd w:val="clear" w:color="auto" w:fill="auto"/>
            <w:noWrap/>
            <w:hideMark/>
          </w:tcPr>
          <w:p w14:paraId="7C026BD4" w14:textId="1F16ADA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Mullen</w:t>
            </w:r>
          </w:p>
        </w:tc>
        <w:tc>
          <w:tcPr>
            <w:tcW w:w="1198" w:type="dxa"/>
            <w:tcBorders>
              <w:top w:val="nil"/>
              <w:left w:val="nil"/>
              <w:bottom w:val="single" w:sz="4" w:space="0" w:color="auto"/>
              <w:right w:val="single" w:sz="4" w:space="0" w:color="auto"/>
            </w:tcBorders>
            <w:shd w:val="clear" w:color="auto" w:fill="auto"/>
            <w:noWrap/>
            <w:hideMark/>
          </w:tcPr>
          <w:p w14:paraId="03EF995C"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Speaker</w:t>
            </w:r>
          </w:p>
        </w:tc>
        <w:tc>
          <w:tcPr>
            <w:tcW w:w="7209" w:type="dxa"/>
            <w:tcBorders>
              <w:top w:val="nil"/>
              <w:left w:val="nil"/>
              <w:bottom w:val="single" w:sz="4" w:space="0" w:color="auto"/>
              <w:right w:val="single" w:sz="4" w:space="0" w:color="auto"/>
            </w:tcBorders>
            <w:shd w:val="clear" w:color="auto" w:fill="auto"/>
            <w:noWrap/>
            <w:hideMark/>
          </w:tcPr>
          <w:p w14:paraId="19DB13D9"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No</w:t>
            </w:r>
          </w:p>
        </w:tc>
      </w:tr>
      <w:tr w:rsidR="004E2DE5" w:rsidRPr="008837AC" w14:paraId="21E8FF82" w14:textId="77777777" w:rsidTr="004E2DE5">
        <w:trPr>
          <w:trHeight w:val="20"/>
        </w:trPr>
        <w:tc>
          <w:tcPr>
            <w:tcW w:w="1180" w:type="dxa"/>
            <w:tcBorders>
              <w:top w:val="nil"/>
              <w:left w:val="single" w:sz="4" w:space="0" w:color="auto"/>
              <w:bottom w:val="single" w:sz="4" w:space="0" w:color="auto"/>
              <w:right w:val="single" w:sz="4" w:space="0" w:color="auto"/>
            </w:tcBorders>
            <w:shd w:val="clear" w:color="auto" w:fill="auto"/>
            <w:hideMark/>
          </w:tcPr>
          <w:p w14:paraId="6ACD299D"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Roisin</w:t>
            </w:r>
          </w:p>
        </w:tc>
        <w:tc>
          <w:tcPr>
            <w:tcW w:w="1208" w:type="dxa"/>
            <w:tcBorders>
              <w:top w:val="nil"/>
              <w:left w:val="nil"/>
              <w:bottom w:val="single" w:sz="4" w:space="0" w:color="auto"/>
              <w:right w:val="single" w:sz="4" w:space="0" w:color="auto"/>
            </w:tcBorders>
            <w:shd w:val="clear" w:color="auto" w:fill="auto"/>
            <w:hideMark/>
          </w:tcPr>
          <w:p w14:paraId="5BC26A5D" w14:textId="77777777" w:rsidR="004E2DE5" w:rsidRPr="008837AC" w:rsidRDefault="004E2DE5" w:rsidP="004E2DE5">
            <w:pPr>
              <w:rPr>
                <w:rFonts w:ascii="Calibri" w:hAnsi="Calibri" w:cs="Calibri"/>
                <w:color w:val="000000"/>
                <w:sz w:val="18"/>
                <w:szCs w:val="18"/>
              </w:rPr>
            </w:pPr>
            <w:proofErr w:type="spellStart"/>
            <w:r w:rsidRPr="008837AC">
              <w:rPr>
                <w:rFonts w:ascii="Calibri" w:hAnsi="Calibri" w:cs="Calibri"/>
                <w:color w:val="000000"/>
                <w:sz w:val="18"/>
                <w:szCs w:val="18"/>
              </w:rPr>
              <w:t>O'Cearbhaill</w:t>
            </w:r>
            <w:proofErr w:type="spellEnd"/>
          </w:p>
        </w:tc>
        <w:tc>
          <w:tcPr>
            <w:tcW w:w="1198" w:type="dxa"/>
            <w:tcBorders>
              <w:top w:val="nil"/>
              <w:left w:val="nil"/>
              <w:bottom w:val="single" w:sz="4" w:space="0" w:color="auto"/>
              <w:right w:val="single" w:sz="4" w:space="0" w:color="auto"/>
            </w:tcBorders>
            <w:shd w:val="clear" w:color="auto" w:fill="auto"/>
            <w:hideMark/>
          </w:tcPr>
          <w:p w14:paraId="4C775537"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Speaker, Planner, Moderator, Planning Committee</w:t>
            </w:r>
          </w:p>
        </w:tc>
        <w:tc>
          <w:tcPr>
            <w:tcW w:w="7209" w:type="dxa"/>
            <w:tcBorders>
              <w:top w:val="nil"/>
              <w:left w:val="nil"/>
              <w:bottom w:val="single" w:sz="4" w:space="0" w:color="auto"/>
              <w:right w:val="single" w:sz="4" w:space="0" w:color="auto"/>
            </w:tcBorders>
            <w:shd w:val="clear" w:color="auto" w:fill="auto"/>
            <w:hideMark/>
          </w:tcPr>
          <w:p w14:paraId="190CFA3F"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Bayer/Celgene/</w:t>
            </w:r>
            <w:proofErr w:type="spellStart"/>
            <w:r w:rsidRPr="008837AC">
              <w:rPr>
                <w:rFonts w:ascii="Calibri" w:hAnsi="Calibri" w:cs="Calibri"/>
                <w:color w:val="000000"/>
                <w:sz w:val="18"/>
                <w:szCs w:val="18"/>
              </w:rPr>
              <w:t>Juno:Scientific</w:t>
            </w:r>
            <w:proofErr w:type="spellEnd"/>
            <w:r w:rsidRPr="008837AC">
              <w:rPr>
                <w:rFonts w:ascii="Calibri" w:hAnsi="Calibri" w:cs="Calibri"/>
                <w:color w:val="000000"/>
                <w:sz w:val="18"/>
                <w:szCs w:val="18"/>
              </w:rPr>
              <w:t xml:space="preserve">/Medical Advisory Board </w:t>
            </w:r>
            <w:proofErr w:type="spellStart"/>
            <w:r w:rsidRPr="008837AC">
              <w:rPr>
                <w:rFonts w:ascii="Calibri" w:hAnsi="Calibri" w:cs="Calibri"/>
                <w:color w:val="000000"/>
                <w:sz w:val="18"/>
                <w:szCs w:val="18"/>
              </w:rPr>
              <w:t>Member,Immunogen:Scientific</w:t>
            </w:r>
            <w:proofErr w:type="spellEnd"/>
            <w:r w:rsidRPr="008837AC">
              <w:rPr>
                <w:rFonts w:ascii="Calibri" w:hAnsi="Calibri" w:cs="Calibri"/>
                <w:color w:val="000000"/>
                <w:sz w:val="18"/>
                <w:szCs w:val="18"/>
              </w:rPr>
              <w:t xml:space="preserve">/Medical Advisory Board </w:t>
            </w:r>
            <w:proofErr w:type="spellStart"/>
            <w:r w:rsidRPr="008837AC">
              <w:rPr>
                <w:rFonts w:ascii="Calibri" w:hAnsi="Calibri" w:cs="Calibri"/>
                <w:color w:val="000000"/>
                <w:sz w:val="18"/>
                <w:szCs w:val="18"/>
              </w:rPr>
              <w:t>Member,Fresenius</w:t>
            </w:r>
            <w:proofErr w:type="spellEnd"/>
            <w:r w:rsidRPr="008837AC">
              <w:rPr>
                <w:rFonts w:ascii="Calibri" w:hAnsi="Calibri" w:cs="Calibri"/>
                <w:color w:val="000000"/>
                <w:sz w:val="18"/>
                <w:szCs w:val="18"/>
              </w:rPr>
              <w:t xml:space="preserve"> </w:t>
            </w:r>
            <w:proofErr w:type="spellStart"/>
            <w:r w:rsidRPr="008837AC">
              <w:rPr>
                <w:rFonts w:ascii="Calibri" w:hAnsi="Calibri" w:cs="Calibri"/>
                <w:color w:val="000000"/>
                <w:sz w:val="18"/>
                <w:szCs w:val="18"/>
              </w:rPr>
              <w:t>Kabi:Scientific</w:t>
            </w:r>
            <w:proofErr w:type="spellEnd"/>
            <w:r w:rsidRPr="008837AC">
              <w:rPr>
                <w:rFonts w:ascii="Calibri" w:hAnsi="Calibri" w:cs="Calibri"/>
                <w:color w:val="000000"/>
                <w:sz w:val="18"/>
                <w:szCs w:val="18"/>
              </w:rPr>
              <w:t xml:space="preserve">/Medical Advisory Board </w:t>
            </w:r>
            <w:proofErr w:type="spellStart"/>
            <w:r w:rsidRPr="008837AC">
              <w:rPr>
                <w:rFonts w:ascii="Calibri" w:hAnsi="Calibri" w:cs="Calibri"/>
                <w:color w:val="000000"/>
                <w:sz w:val="18"/>
                <w:szCs w:val="18"/>
              </w:rPr>
              <w:t>Member,SeaGen</w:t>
            </w:r>
            <w:proofErr w:type="spellEnd"/>
            <w:r w:rsidRPr="008837AC">
              <w:rPr>
                <w:rFonts w:ascii="Calibri" w:hAnsi="Calibri" w:cs="Calibri"/>
                <w:color w:val="000000"/>
                <w:sz w:val="18"/>
                <w:szCs w:val="18"/>
              </w:rPr>
              <w:t>/</w:t>
            </w:r>
            <w:proofErr w:type="spellStart"/>
            <w:r w:rsidRPr="008837AC">
              <w:rPr>
                <w:rFonts w:ascii="Calibri" w:hAnsi="Calibri" w:cs="Calibri"/>
                <w:color w:val="000000"/>
                <w:sz w:val="18"/>
                <w:szCs w:val="18"/>
              </w:rPr>
              <w:t>Genmab:Scientific</w:t>
            </w:r>
            <w:proofErr w:type="spellEnd"/>
            <w:r w:rsidRPr="008837AC">
              <w:rPr>
                <w:rFonts w:ascii="Calibri" w:hAnsi="Calibri" w:cs="Calibri"/>
                <w:color w:val="000000"/>
                <w:sz w:val="18"/>
                <w:szCs w:val="18"/>
              </w:rPr>
              <w:t xml:space="preserve">/Medical Advisory Board </w:t>
            </w:r>
            <w:proofErr w:type="spellStart"/>
            <w:r w:rsidRPr="008837AC">
              <w:rPr>
                <w:rFonts w:ascii="Calibri" w:hAnsi="Calibri" w:cs="Calibri"/>
                <w:color w:val="000000"/>
                <w:sz w:val="18"/>
                <w:szCs w:val="18"/>
              </w:rPr>
              <w:t>Member,GSK:Scientific</w:t>
            </w:r>
            <w:proofErr w:type="spellEnd"/>
            <w:r w:rsidRPr="008837AC">
              <w:rPr>
                <w:rFonts w:ascii="Calibri" w:hAnsi="Calibri" w:cs="Calibri"/>
                <w:color w:val="000000"/>
                <w:sz w:val="18"/>
                <w:szCs w:val="18"/>
              </w:rPr>
              <w:t xml:space="preserve">/Medical Advisory Board </w:t>
            </w:r>
            <w:proofErr w:type="spellStart"/>
            <w:r w:rsidRPr="008837AC">
              <w:rPr>
                <w:rFonts w:ascii="Calibri" w:hAnsi="Calibri" w:cs="Calibri"/>
                <w:color w:val="000000"/>
                <w:sz w:val="18"/>
                <w:szCs w:val="18"/>
              </w:rPr>
              <w:t>Member,Regeneron:Scientific</w:t>
            </w:r>
            <w:proofErr w:type="spellEnd"/>
            <w:r w:rsidRPr="008837AC">
              <w:rPr>
                <w:rFonts w:ascii="Calibri" w:hAnsi="Calibri" w:cs="Calibri"/>
                <w:color w:val="000000"/>
                <w:sz w:val="18"/>
                <w:szCs w:val="18"/>
              </w:rPr>
              <w:t xml:space="preserve">/Medical Advisory Board </w:t>
            </w:r>
            <w:proofErr w:type="spellStart"/>
            <w:r w:rsidRPr="008837AC">
              <w:rPr>
                <w:rFonts w:ascii="Calibri" w:hAnsi="Calibri" w:cs="Calibri"/>
                <w:color w:val="000000"/>
                <w:sz w:val="18"/>
                <w:szCs w:val="18"/>
              </w:rPr>
              <w:t>Member,MJH:Other,Curio</w:t>
            </w:r>
            <w:proofErr w:type="spellEnd"/>
            <w:r w:rsidRPr="008837AC">
              <w:rPr>
                <w:rFonts w:ascii="Calibri" w:hAnsi="Calibri" w:cs="Calibri"/>
                <w:color w:val="000000"/>
                <w:sz w:val="18"/>
                <w:szCs w:val="18"/>
              </w:rPr>
              <w:t xml:space="preserve"> Life </w:t>
            </w:r>
            <w:proofErr w:type="spellStart"/>
            <w:r w:rsidRPr="008837AC">
              <w:rPr>
                <w:rFonts w:ascii="Calibri" w:hAnsi="Calibri" w:cs="Calibri"/>
                <w:color w:val="000000"/>
                <w:sz w:val="18"/>
                <w:szCs w:val="18"/>
              </w:rPr>
              <w:t>Science:Other,Abbvie</w:t>
            </w:r>
            <w:proofErr w:type="spellEnd"/>
            <w:r w:rsidRPr="008837AC">
              <w:rPr>
                <w:rFonts w:ascii="Calibri" w:hAnsi="Calibri" w:cs="Calibri"/>
                <w:color w:val="000000"/>
                <w:sz w:val="18"/>
                <w:szCs w:val="18"/>
              </w:rPr>
              <w:t>/TCR2/</w:t>
            </w:r>
            <w:proofErr w:type="spellStart"/>
            <w:r w:rsidRPr="008837AC">
              <w:rPr>
                <w:rFonts w:ascii="Calibri" w:hAnsi="Calibri" w:cs="Calibri"/>
                <w:color w:val="000000"/>
                <w:sz w:val="18"/>
                <w:szCs w:val="18"/>
              </w:rPr>
              <w:t>Atara</w:t>
            </w:r>
            <w:proofErr w:type="spellEnd"/>
            <w:r w:rsidRPr="008837AC">
              <w:rPr>
                <w:rFonts w:ascii="Calibri" w:hAnsi="Calibri" w:cs="Calibri"/>
                <w:color w:val="000000"/>
                <w:sz w:val="18"/>
                <w:szCs w:val="18"/>
              </w:rPr>
              <w:t xml:space="preserve"> Biotherapeutics/ GOG Foundation/</w:t>
            </w:r>
            <w:proofErr w:type="spellStart"/>
            <w:r w:rsidRPr="008837AC">
              <w:rPr>
                <w:rFonts w:ascii="Calibri" w:hAnsi="Calibri" w:cs="Calibri"/>
                <w:color w:val="000000"/>
                <w:sz w:val="18"/>
                <w:szCs w:val="18"/>
              </w:rPr>
              <w:t>StemCentryx</w:t>
            </w:r>
            <w:proofErr w:type="spellEnd"/>
            <w:r w:rsidRPr="008837AC">
              <w:rPr>
                <w:rFonts w:ascii="Calibri" w:hAnsi="Calibri" w:cs="Calibri"/>
                <w:color w:val="000000"/>
                <w:sz w:val="18"/>
                <w:szCs w:val="18"/>
              </w:rPr>
              <w:t>/Regeneron/</w:t>
            </w:r>
            <w:proofErr w:type="spellStart"/>
            <w:r w:rsidRPr="008837AC">
              <w:rPr>
                <w:rFonts w:ascii="Calibri" w:hAnsi="Calibri" w:cs="Calibri"/>
                <w:color w:val="000000"/>
                <w:sz w:val="18"/>
                <w:szCs w:val="18"/>
              </w:rPr>
              <w:t>MarkerTherapeutics</w:t>
            </w:r>
            <w:proofErr w:type="spellEnd"/>
            <w:r w:rsidRPr="008837AC">
              <w:rPr>
                <w:rFonts w:ascii="Calibri" w:hAnsi="Calibri" w:cs="Calibri"/>
                <w:color w:val="000000"/>
                <w:sz w:val="18"/>
                <w:szCs w:val="18"/>
              </w:rPr>
              <w:t>/</w:t>
            </w:r>
            <w:proofErr w:type="spellStart"/>
            <w:r w:rsidRPr="008837AC">
              <w:rPr>
                <w:rFonts w:ascii="Calibri" w:hAnsi="Calibri" w:cs="Calibri"/>
                <w:color w:val="000000"/>
                <w:sz w:val="18"/>
                <w:szCs w:val="18"/>
              </w:rPr>
              <w:t>Syndax</w:t>
            </w:r>
            <w:proofErr w:type="spellEnd"/>
            <w:r w:rsidRPr="008837AC">
              <w:rPr>
                <w:rFonts w:ascii="Calibri" w:hAnsi="Calibri" w:cs="Calibri"/>
                <w:color w:val="000000"/>
                <w:sz w:val="18"/>
                <w:szCs w:val="18"/>
              </w:rPr>
              <w:t xml:space="preserve">/ Genmab/ </w:t>
            </w:r>
            <w:proofErr w:type="spellStart"/>
            <w:r w:rsidRPr="008837AC">
              <w:rPr>
                <w:rFonts w:ascii="Calibri" w:hAnsi="Calibri" w:cs="Calibri"/>
                <w:color w:val="000000"/>
                <w:sz w:val="18"/>
                <w:szCs w:val="18"/>
              </w:rPr>
              <w:t>Sellas</w:t>
            </w:r>
            <w:proofErr w:type="spellEnd"/>
            <w:r w:rsidRPr="008837AC">
              <w:rPr>
                <w:rFonts w:ascii="Calibri" w:hAnsi="Calibri" w:cs="Calibri"/>
                <w:color w:val="000000"/>
                <w:sz w:val="18"/>
                <w:szCs w:val="18"/>
              </w:rPr>
              <w:t xml:space="preserve"> Therapeutics/ </w:t>
            </w:r>
            <w:proofErr w:type="spellStart"/>
            <w:r w:rsidRPr="008837AC">
              <w:rPr>
                <w:rFonts w:ascii="Calibri" w:hAnsi="Calibri" w:cs="Calibri"/>
                <w:color w:val="000000"/>
                <w:sz w:val="18"/>
                <w:szCs w:val="18"/>
              </w:rPr>
              <w:t>Genentech:Research</w:t>
            </w:r>
            <w:proofErr w:type="spellEnd"/>
            <w:r w:rsidRPr="008837AC">
              <w:rPr>
                <w:rFonts w:ascii="Calibri" w:hAnsi="Calibri" w:cs="Calibri"/>
                <w:color w:val="000000"/>
                <w:sz w:val="18"/>
                <w:szCs w:val="18"/>
              </w:rPr>
              <w:t xml:space="preserve"> Grant Site Principal </w:t>
            </w:r>
            <w:proofErr w:type="spellStart"/>
            <w:r w:rsidRPr="008837AC">
              <w:rPr>
                <w:rFonts w:ascii="Calibri" w:hAnsi="Calibri" w:cs="Calibri"/>
                <w:color w:val="000000"/>
                <w:sz w:val="18"/>
                <w:szCs w:val="18"/>
              </w:rPr>
              <w:t>Investigator,Bayer</w:t>
            </w:r>
            <w:proofErr w:type="spellEnd"/>
            <w:r w:rsidRPr="008837AC">
              <w:rPr>
                <w:rFonts w:ascii="Calibri" w:hAnsi="Calibri" w:cs="Calibri"/>
                <w:color w:val="000000"/>
                <w:sz w:val="18"/>
                <w:szCs w:val="18"/>
              </w:rPr>
              <w:t>/Celgene/</w:t>
            </w:r>
            <w:proofErr w:type="spellStart"/>
            <w:r w:rsidRPr="008837AC">
              <w:rPr>
                <w:rFonts w:ascii="Calibri" w:hAnsi="Calibri" w:cs="Calibri"/>
                <w:color w:val="000000"/>
                <w:sz w:val="18"/>
                <w:szCs w:val="18"/>
              </w:rPr>
              <w:t>Juno:Research</w:t>
            </w:r>
            <w:proofErr w:type="spellEnd"/>
            <w:r w:rsidRPr="008837AC">
              <w:rPr>
                <w:rFonts w:ascii="Calibri" w:hAnsi="Calibri" w:cs="Calibri"/>
                <w:color w:val="000000"/>
                <w:sz w:val="18"/>
                <w:szCs w:val="18"/>
              </w:rPr>
              <w:t xml:space="preserve"> Grant Overall Principal </w:t>
            </w:r>
            <w:proofErr w:type="spellStart"/>
            <w:r w:rsidRPr="008837AC">
              <w:rPr>
                <w:rFonts w:ascii="Calibri" w:hAnsi="Calibri" w:cs="Calibri"/>
                <w:color w:val="000000"/>
                <w:sz w:val="18"/>
                <w:szCs w:val="18"/>
              </w:rPr>
              <w:t>Investigator,Tesaro</w:t>
            </w:r>
            <w:proofErr w:type="spellEnd"/>
            <w:r w:rsidRPr="008837AC">
              <w:rPr>
                <w:rFonts w:ascii="Calibri" w:hAnsi="Calibri" w:cs="Calibri"/>
                <w:color w:val="000000"/>
                <w:sz w:val="18"/>
                <w:szCs w:val="18"/>
              </w:rPr>
              <w:t>/</w:t>
            </w:r>
            <w:proofErr w:type="spellStart"/>
            <w:r w:rsidRPr="008837AC">
              <w:rPr>
                <w:rFonts w:ascii="Calibri" w:hAnsi="Calibri" w:cs="Calibri"/>
                <w:color w:val="000000"/>
                <w:sz w:val="18"/>
                <w:szCs w:val="18"/>
              </w:rPr>
              <w:t>GSK:Research</w:t>
            </w:r>
            <w:proofErr w:type="spellEnd"/>
            <w:r w:rsidRPr="008837AC">
              <w:rPr>
                <w:rFonts w:ascii="Calibri" w:hAnsi="Calibri" w:cs="Calibri"/>
                <w:color w:val="000000"/>
                <w:sz w:val="18"/>
                <w:szCs w:val="18"/>
              </w:rPr>
              <w:t xml:space="preserve"> Grant Site Principal </w:t>
            </w:r>
            <w:proofErr w:type="spellStart"/>
            <w:r w:rsidRPr="008837AC">
              <w:rPr>
                <w:rFonts w:ascii="Calibri" w:hAnsi="Calibri" w:cs="Calibri"/>
                <w:color w:val="000000"/>
                <w:sz w:val="18"/>
                <w:szCs w:val="18"/>
              </w:rPr>
              <w:t>Investigator,Ludwig</w:t>
            </w:r>
            <w:proofErr w:type="spellEnd"/>
            <w:r w:rsidRPr="008837AC">
              <w:rPr>
                <w:rFonts w:ascii="Calibri" w:hAnsi="Calibri" w:cs="Calibri"/>
                <w:color w:val="000000"/>
                <w:sz w:val="18"/>
                <w:szCs w:val="18"/>
              </w:rPr>
              <w:t xml:space="preserve"> Cancer </w:t>
            </w:r>
            <w:proofErr w:type="spellStart"/>
            <w:r w:rsidRPr="008837AC">
              <w:rPr>
                <w:rFonts w:ascii="Calibri" w:hAnsi="Calibri" w:cs="Calibri"/>
                <w:color w:val="000000"/>
                <w:sz w:val="18"/>
                <w:szCs w:val="18"/>
              </w:rPr>
              <w:t>Institute:Research</w:t>
            </w:r>
            <w:proofErr w:type="spellEnd"/>
            <w:r w:rsidRPr="008837AC">
              <w:rPr>
                <w:rFonts w:ascii="Calibri" w:hAnsi="Calibri" w:cs="Calibri"/>
                <w:color w:val="000000"/>
                <w:sz w:val="18"/>
                <w:szCs w:val="18"/>
              </w:rPr>
              <w:t xml:space="preserve"> Grant Site Principal Investigator</w:t>
            </w:r>
          </w:p>
        </w:tc>
      </w:tr>
      <w:tr w:rsidR="004E2DE5" w:rsidRPr="008837AC" w14:paraId="7836188D" w14:textId="77777777" w:rsidTr="004E2DE5">
        <w:trPr>
          <w:trHeight w:val="20"/>
        </w:trPr>
        <w:tc>
          <w:tcPr>
            <w:tcW w:w="1180" w:type="dxa"/>
            <w:tcBorders>
              <w:top w:val="nil"/>
              <w:left w:val="single" w:sz="4" w:space="0" w:color="auto"/>
              <w:bottom w:val="single" w:sz="4" w:space="0" w:color="auto"/>
              <w:right w:val="single" w:sz="4" w:space="0" w:color="auto"/>
            </w:tcBorders>
            <w:shd w:val="clear" w:color="auto" w:fill="auto"/>
            <w:hideMark/>
          </w:tcPr>
          <w:p w14:paraId="4464369B"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Aaron</w:t>
            </w:r>
          </w:p>
        </w:tc>
        <w:tc>
          <w:tcPr>
            <w:tcW w:w="1208" w:type="dxa"/>
            <w:tcBorders>
              <w:top w:val="nil"/>
              <w:left w:val="nil"/>
              <w:bottom w:val="single" w:sz="4" w:space="0" w:color="auto"/>
              <w:right w:val="single" w:sz="4" w:space="0" w:color="auto"/>
            </w:tcBorders>
            <w:shd w:val="clear" w:color="auto" w:fill="auto"/>
            <w:hideMark/>
          </w:tcPr>
          <w:p w14:paraId="538FAD0D" w14:textId="77777777" w:rsidR="004E2DE5" w:rsidRPr="008837AC" w:rsidRDefault="004E2DE5" w:rsidP="004E2DE5">
            <w:pPr>
              <w:rPr>
                <w:rFonts w:ascii="Calibri" w:hAnsi="Calibri" w:cs="Calibri"/>
                <w:color w:val="000000"/>
                <w:sz w:val="18"/>
                <w:szCs w:val="18"/>
              </w:rPr>
            </w:pPr>
            <w:proofErr w:type="spellStart"/>
            <w:r w:rsidRPr="008837AC">
              <w:rPr>
                <w:rFonts w:ascii="Calibri" w:hAnsi="Calibri" w:cs="Calibri"/>
                <w:color w:val="000000"/>
                <w:sz w:val="18"/>
                <w:szCs w:val="18"/>
              </w:rPr>
              <w:t>Praiss</w:t>
            </w:r>
            <w:proofErr w:type="spellEnd"/>
          </w:p>
        </w:tc>
        <w:tc>
          <w:tcPr>
            <w:tcW w:w="1198" w:type="dxa"/>
            <w:tcBorders>
              <w:top w:val="nil"/>
              <w:left w:val="nil"/>
              <w:bottom w:val="single" w:sz="4" w:space="0" w:color="auto"/>
              <w:right w:val="single" w:sz="4" w:space="0" w:color="auto"/>
            </w:tcBorders>
            <w:shd w:val="clear" w:color="auto" w:fill="auto"/>
            <w:hideMark/>
          </w:tcPr>
          <w:p w14:paraId="49EEB645"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Speaker</w:t>
            </w:r>
          </w:p>
        </w:tc>
        <w:tc>
          <w:tcPr>
            <w:tcW w:w="7209" w:type="dxa"/>
            <w:tcBorders>
              <w:top w:val="nil"/>
              <w:left w:val="nil"/>
              <w:bottom w:val="single" w:sz="4" w:space="0" w:color="auto"/>
              <w:right w:val="single" w:sz="4" w:space="0" w:color="auto"/>
            </w:tcBorders>
            <w:shd w:val="clear" w:color="auto" w:fill="auto"/>
            <w:hideMark/>
          </w:tcPr>
          <w:p w14:paraId="65D35A25"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NA</w:t>
            </w:r>
          </w:p>
        </w:tc>
      </w:tr>
      <w:tr w:rsidR="004E2DE5" w:rsidRPr="008837AC" w14:paraId="4D8F2446" w14:textId="77777777" w:rsidTr="004E2DE5">
        <w:trPr>
          <w:trHeight w:val="20"/>
        </w:trPr>
        <w:tc>
          <w:tcPr>
            <w:tcW w:w="1180" w:type="dxa"/>
            <w:tcBorders>
              <w:top w:val="nil"/>
              <w:left w:val="single" w:sz="4" w:space="0" w:color="auto"/>
              <w:bottom w:val="single" w:sz="4" w:space="0" w:color="auto"/>
              <w:right w:val="single" w:sz="4" w:space="0" w:color="auto"/>
            </w:tcBorders>
            <w:shd w:val="clear" w:color="auto" w:fill="auto"/>
            <w:hideMark/>
          </w:tcPr>
          <w:p w14:paraId="4E58D4A1"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Tracy</w:t>
            </w:r>
          </w:p>
        </w:tc>
        <w:tc>
          <w:tcPr>
            <w:tcW w:w="1208" w:type="dxa"/>
            <w:tcBorders>
              <w:top w:val="nil"/>
              <w:left w:val="nil"/>
              <w:bottom w:val="single" w:sz="4" w:space="0" w:color="auto"/>
              <w:right w:val="single" w:sz="4" w:space="0" w:color="auto"/>
            </w:tcBorders>
            <w:shd w:val="clear" w:color="auto" w:fill="auto"/>
            <w:hideMark/>
          </w:tcPr>
          <w:p w14:paraId="40E2049F"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Sandstrom</w:t>
            </w:r>
          </w:p>
        </w:tc>
        <w:tc>
          <w:tcPr>
            <w:tcW w:w="1198" w:type="dxa"/>
            <w:tcBorders>
              <w:top w:val="nil"/>
              <w:left w:val="nil"/>
              <w:bottom w:val="single" w:sz="4" w:space="0" w:color="auto"/>
              <w:right w:val="single" w:sz="4" w:space="0" w:color="auto"/>
            </w:tcBorders>
            <w:shd w:val="clear" w:color="auto" w:fill="auto"/>
            <w:hideMark/>
          </w:tcPr>
          <w:p w14:paraId="39D82353"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CE Coordinator</w:t>
            </w:r>
          </w:p>
        </w:tc>
        <w:tc>
          <w:tcPr>
            <w:tcW w:w="7209" w:type="dxa"/>
            <w:tcBorders>
              <w:top w:val="nil"/>
              <w:left w:val="nil"/>
              <w:bottom w:val="single" w:sz="4" w:space="0" w:color="auto"/>
              <w:right w:val="single" w:sz="4" w:space="0" w:color="auto"/>
            </w:tcBorders>
            <w:shd w:val="clear" w:color="auto" w:fill="auto"/>
            <w:hideMark/>
          </w:tcPr>
          <w:p w14:paraId="33CFFFA5"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NA</w:t>
            </w:r>
          </w:p>
        </w:tc>
      </w:tr>
      <w:tr w:rsidR="004E2DE5" w:rsidRPr="008837AC" w14:paraId="0071FE46" w14:textId="77777777" w:rsidTr="004E2DE5">
        <w:trPr>
          <w:trHeight w:val="20"/>
        </w:trPr>
        <w:tc>
          <w:tcPr>
            <w:tcW w:w="1180" w:type="dxa"/>
            <w:tcBorders>
              <w:top w:val="nil"/>
              <w:left w:val="single" w:sz="4" w:space="0" w:color="auto"/>
              <w:bottom w:val="single" w:sz="4" w:space="0" w:color="auto"/>
              <w:right w:val="single" w:sz="4" w:space="0" w:color="auto"/>
            </w:tcBorders>
            <w:shd w:val="clear" w:color="auto" w:fill="auto"/>
            <w:hideMark/>
          </w:tcPr>
          <w:p w14:paraId="076F6846"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Leigha</w:t>
            </w:r>
          </w:p>
        </w:tc>
        <w:tc>
          <w:tcPr>
            <w:tcW w:w="1208" w:type="dxa"/>
            <w:tcBorders>
              <w:top w:val="nil"/>
              <w:left w:val="nil"/>
              <w:bottom w:val="single" w:sz="4" w:space="0" w:color="auto"/>
              <w:right w:val="single" w:sz="4" w:space="0" w:color="auto"/>
            </w:tcBorders>
            <w:shd w:val="clear" w:color="auto" w:fill="auto"/>
            <w:hideMark/>
          </w:tcPr>
          <w:p w14:paraId="58000CE9" w14:textId="77777777" w:rsidR="004E2DE5" w:rsidRPr="008837AC" w:rsidRDefault="004E2DE5" w:rsidP="004E2DE5">
            <w:pPr>
              <w:rPr>
                <w:rFonts w:ascii="Calibri" w:hAnsi="Calibri" w:cs="Calibri"/>
                <w:color w:val="000000"/>
                <w:sz w:val="18"/>
                <w:szCs w:val="18"/>
              </w:rPr>
            </w:pPr>
            <w:proofErr w:type="spellStart"/>
            <w:r w:rsidRPr="008837AC">
              <w:rPr>
                <w:rFonts w:ascii="Calibri" w:hAnsi="Calibri" w:cs="Calibri"/>
                <w:color w:val="000000"/>
                <w:sz w:val="18"/>
                <w:szCs w:val="18"/>
              </w:rPr>
              <w:t>Senter</w:t>
            </w:r>
            <w:proofErr w:type="spellEnd"/>
            <w:r w:rsidRPr="008837AC">
              <w:rPr>
                <w:rFonts w:ascii="Calibri" w:hAnsi="Calibri" w:cs="Calibri"/>
                <w:color w:val="000000"/>
                <w:sz w:val="18"/>
                <w:szCs w:val="18"/>
              </w:rPr>
              <w:t>-Jamieson</w:t>
            </w:r>
          </w:p>
        </w:tc>
        <w:tc>
          <w:tcPr>
            <w:tcW w:w="1198" w:type="dxa"/>
            <w:tcBorders>
              <w:top w:val="nil"/>
              <w:left w:val="nil"/>
              <w:bottom w:val="single" w:sz="4" w:space="0" w:color="auto"/>
              <w:right w:val="single" w:sz="4" w:space="0" w:color="auto"/>
            </w:tcBorders>
            <w:shd w:val="clear" w:color="auto" w:fill="auto"/>
            <w:hideMark/>
          </w:tcPr>
          <w:p w14:paraId="14FC2B6D"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Planning Committee</w:t>
            </w:r>
          </w:p>
        </w:tc>
        <w:tc>
          <w:tcPr>
            <w:tcW w:w="7209" w:type="dxa"/>
            <w:tcBorders>
              <w:top w:val="nil"/>
              <w:left w:val="nil"/>
              <w:bottom w:val="single" w:sz="4" w:space="0" w:color="auto"/>
              <w:right w:val="single" w:sz="4" w:space="0" w:color="auto"/>
            </w:tcBorders>
            <w:shd w:val="clear" w:color="auto" w:fill="auto"/>
            <w:hideMark/>
          </w:tcPr>
          <w:p w14:paraId="291AB3D7" w14:textId="77777777" w:rsidR="004E2DE5" w:rsidRPr="008837AC" w:rsidRDefault="004E2DE5" w:rsidP="004E2DE5">
            <w:pPr>
              <w:rPr>
                <w:rFonts w:ascii="Calibri" w:hAnsi="Calibri" w:cs="Calibri"/>
                <w:color w:val="000000"/>
                <w:sz w:val="18"/>
                <w:szCs w:val="18"/>
              </w:rPr>
            </w:pPr>
            <w:proofErr w:type="spellStart"/>
            <w:r w:rsidRPr="008837AC">
              <w:rPr>
                <w:rFonts w:ascii="Calibri" w:hAnsi="Calibri" w:cs="Calibri"/>
                <w:color w:val="000000"/>
                <w:sz w:val="18"/>
                <w:szCs w:val="18"/>
              </w:rPr>
              <w:t>Astrazeneca:Speakers</w:t>
            </w:r>
            <w:proofErr w:type="spellEnd"/>
            <w:r w:rsidRPr="008837AC">
              <w:rPr>
                <w:rFonts w:ascii="Calibri" w:hAnsi="Calibri" w:cs="Calibri"/>
                <w:color w:val="000000"/>
                <w:sz w:val="18"/>
                <w:szCs w:val="18"/>
              </w:rPr>
              <w:t xml:space="preserve"> </w:t>
            </w:r>
            <w:proofErr w:type="spellStart"/>
            <w:r w:rsidRPr="008837AC">
              <w:rPr>
                <w:rFonts w:ascii="Calibri" w:hAnsi="Calibri" w:cs="Calibri"/>
                <w:color w:val="000000"/>
                <w:sz w:val="18"/>
                <w:szCs w:val="18"/>
              </w:rPr>
              <w:t>Bureau,GSK:Scientific</w:t>
            </w:r>
            <w:proofErr w:type="spellEnd"/>
            <w:r w:rsidRPr="008837AC">
              <w:rPr>
                <w:rFonts w:ascii="Calibri" w:hAnsi="Calibri" w:cs="Calibri"/>
                <w:color w:val="000000"/>
                <w:sz w:val="18"/>
                <w:szCs w:val="18"/>
              </w:rPr>
              <w:t>/Medical Advisory Board Member</w:t>
            </w:r>
          </w:p>
        </w:tc>
      </w:tr>
      <w:tr w:rsidR="004E2DE5" w:rsidRPr="008837AC" w14:paraId="68CCC8A1" w14:textId="77777777" w:rsidTr="004E2DE5">
        <w:trPr>
          <w:trHeight w:val="20"/>
        </w:trPr>
        <w:tc>
          <w:tcPr>
            <w:tcW w:w="1180" w:type="dxa"/>
            <w:tcBorders>
              <w:top w:val="nil"/>
              <w:left w:val="single" w:sz="4" w:space="0" w:color="auto"/>
              <w:bottom w:val="single" w:sz="4" w:space="0" w:color="auto"/>
              <w:right w:val="single" w:sz="4" w:space="0" w:color="auto"/>
            </w:tcBorders>
            <w:shd w:val="clear" w:color="auto" w:fill="auto"/>
            <w:hideMark/>
          </w:tcPr>
          <w:p w14:paraId="30347BA1"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Ashley</w:t>
            </w:r>
          </w:p>
        </w:tc>
        <w:tc>
          <w:tcPr>
            <w:tcW w:w="1208" w:type="dxa"/>
            <w:tcBorders>
              <w:top w:val="nil"/>
              <w:left w:val="nil"/>
              <w:bottom w:val="single" w:sz="4" w:space="0" w:color="auto"/>
              <w:right w:val="single" w:sz="4" w:space="0" w:color="auto"/>
            </w:tcBorders>
            <w:shd w:val="clear" w:color="auto" w:fill="auto"/>
            <w:hideMark/>
          </w:tcPr>
          <w:p w14:paraId="68778BCE"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Stuckey</w:t>
            </w:r>
          </w:p>
        </w:tc>
        <w:tc>
          <w:tcPr>
            <w:tcW w:w="1198" w:type="dxa"/>
            <w:tcBorders>
              <w:top w:val="nil"/>
              <w:left w:val="nil"/>
              <w:bottom w:val="single" w:sz="4" w:space="0" w:color="auto"/>
              <w:right w:val="single" w:sz="4" w:space="0" w:color="auto"/>
            </w:tcBorders>
            <w:shd w:val="clear" w:color="auto" w:fill="auto"/>
            <w:hideMark/>
          </w:tcPr>
          <w:p w14:paraId="4D3B4BA5"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Planning Committee</w:t>
            </w:r>
          </w:p>
        </w:tc>
        <w:tc>
          <w:tcPr>
            <w:tcW w:w="7209" w:type="dxa"/>
            <w:tcBorders>
              <w:top w:val="nil"/>
              <w:left w:val="nil"/>
              <w:bottom w:val="single" w:sz="4" w:space="0" w:color="auto"/>
              <w:right w:val="single" w:sz="4" w:space="0" w:color="auto"/>
            </w:tcBorders>
            <w:shd w:val="clear" w:color="auto" w:fill="auto"/>
            <w:hideMark/>
          </w:tcPr>
          <w:p w14:paraId="76D1C703"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NA</w:t>
            </w:r>
          </w:p>
        </w:tc>
      </w:tr>
      <w:tr w:rsidR="004E2DE5" w:rsidRPr="008837AC" w14:paraId="2E621CE6" w14:textId="77777777" w:rsidTr="004E2DE5">
        <w:trPr>
          <w:trHeight w:val="20"/>
        </w:trPr>
        <w:tc>
          <w:tcPr>
            <w:tcW w:w="1180" w:type="dxa"/>
            <w:tcBorders>
              <w:top w:val="nil"/>
              <w:left w:val="single" w:sz="4" w:space="0" w:color="auto"/>
              <w:bottom w:val="single" w:sz="4" w:space="0" w:color="auto"/>
              <w:right w:val="single" w:sz="4" w:space="0" w:color="auto"/>
            </w:tcBorders>
            <w:shd w:val="clear" w:color="auto" w:fill="auto"/>
            <w:hideMark/>
          </w:tcPr>
          <w:p w14:paraId="1339C326"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Premal</w:t>
            </w:r>
          </w:p>
        </w:tc>
        <w:tc>
          <w:tcPr>
            <w:tcW w:w="1208" w:type="dxa"/>
            <w:tcBorders>
              <w:top w:val="nil"/>
              <w:left w:val="nil"/>
              <w:bottom w:val="single" w:sz="4" w:space="0" w:color="auto"/>
              <w:right w:val="single" w:sz="4" w:space="0" w:color="auto"/>
            </w:tcBorders>
            <w:shd w:val="clear" w:color="auto" w:fill="auto"/>
            <w:hideMark/>
          </w:tcPr>
          <w:p w14:paraId="2A00498B" w14:textId="77777777" w:rsidR="004E2DE5" w:rsidRPr="008837AC" w:rsidRDefault="004E2DE5" w:rsidP="004E2DE5">
            <w:pPr>
              <w:rPr>
                <w:rFonts w:ascii="Calibri" w:hAnsi="Calibri" w:cs="Calibri"/>
                <w:color w:val="000000"/>
                <w:sz w:val="18"/>
                <w:szCs w:val="18"/>
              </w:rPr>
            </w:pPr>
            <w:proofErr w:type="spellStart"/>
            <w:r w:rsidRPr="008837AC">
              <w:rPr>
                <w:rFonts w:ascii="Calibri" w:hAnsi="Calibri" w:cs="Calibri"/>
                <w:color w:val="000000"/>
                <w:sz w:val="18"/>
                <w:szCs w:val="18"/>
              </w:rPr>
              <w:t>Thaker</w:t>
            </w:r>
            <w:proofErr w:type="spellEnd"/>
          </w:p>
        </w:tc>
        <w:tc>
          <w:tcPr>
            <w:tcW w:w="1198" w:type="dxa"/>
            <w:tcBorders>
              <w:top w:val="nil"/>
              <w:left w:val="nil"/>
              <w:bottom w:val="single" w:sz="4" w:space="0" w:color="auto"/>
              <w:right w:val="single" w:sz="4" w:space="0" w:color="auto"/>
            </w:tcBorders>
            <w:shd w:val="clear" w:color="auto" w:fill="auto"/>
            <w:hideMark/>
          </w:tcPr>
          <w:p w14:paraId="681230EF"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Speaker, Planning Committee</w:t>
            </w:r>
          </w:p>
        </w:tc>
        <w:tc>
          <w:tcPr>
            <w:tcW w:w="7209" w:type="dxa"/>
            <w:tcBorders>
              <w:top w:val="nil"/>
              <w:left w:val="nil"/>
              <w:bottom w:val="single" w:sz="4" w:space="0" w:color="auto"/>
              <w:right w:val="single" w:sz="4" w:space="0" w:color="auto"/>
            </w:tcBorders>
            <w:shd w:val="clear" w:color="auto" w:fill="auto"/>
            <w:hideMark/>
          </w:tcPr>
          <w:p w14:paraId="1CEC400E"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 xml:space="preserve">Glaxo Smith </w:t>
            </w:r>
            <w:proofErr w:type="spellStart"/>
            <w:r w:rsidRPr="008837AC">
              <w:rPr>
                <w:rFonts w:ascii="Calibri" w:hAnsi="Calibri" w:cs="Calibri"/>
                <w:color w:val="000000"/>
                <w:sz w:val="18"/>
                <w:szCs w:val="18"/>
              </w:rPr>
              <w:t>Kline:Research</w:t>
            </w:r>
            <w:proofErr w:type="spellEnd"/>
            <w:r w:rsidRPr="008837AC">
              <w:rPr>
                <w:rFonts w:ascii="Calibri" w:hAnsi="Calibri" w:cs="Calibri"/>
                <w:color w:val="000000"/>
                <w:sz w:val="18"/>
                <w:szCs w:val="18"/>
              </w:rPr>
              <w:t xml:space="preserve"> Grant Site Principal </w:t>
            </w:r>
            <w:proofErr w:type="spellStart"/>
            <w:r w:rsidRPr="008837AC">
              <w:rPr>
                <w:rFonts w:ascii="Calibri" w:hAnsi="Calibri" w:cs="Calibri"/>
                <w:color w:val="000000"/>
                <w:sz w:val="18"/>
                <w:szCs w:val="18"/>
              </w:rPr>
              <w:t>Investigator,Glaxo</w:t>
            </w:r>
            <w:proofErr w:type="spellEnd"/>
            <w:r w:rsidRPr="008837AC">
              <w:rPr>
                <w:rFonts w:ascii="Calibri" w:hAnsi="Calibri" w:cs="Calibri"/>
                <w:color w:val="000000"/>
                <w:sz w:val="18"/>
                <w:szCs w:val="18"/>
              </w:rPr>
              <w:t xml:space="preserve"> Smith </w:t>
            </w:r>
            <w:proofErr w:type="spellStart"/>
            <w:r w:rsidRPr="008837AC">
              <w:rPr>
                <w:rFonts w:ascii="Calibri" w:hAnsi="Calibri" w:cs="Calibri"/>
                <w:color w:val="000000"/>
                <w:sz w:val="18"/>
                <w:szCs w:val="18"/>
              </w:rPr>
              <w:t>Kline:Scientific</w:t>
            </w:r>
            <w:proofErr w:type="spellEnd"/>
            <w:r w:rsidRPr="008837AC">
              <w:rPr>
                <w:rFonts w:ascii="Calibri" w:hAnsi="Calibri" w:cs="Calibri"/>
                <w:color w:val="000000"/>
                <w:sz w:val="18"/>
                <w:szCs w:val="18"/>
              </w:rPr>
              <w:t xml:space="preserve">/Medical Advisory Board </w:t>
            </w:r>
            <w:proofErr w:type="spellStart"/>
            <w:r w:rsidRPr="008837AC">
              <w:rPr>
                <w:rFonts w:ascii="Calibri" w:hAnsi="Calibri" w:cs="Calibri"/>
                <w:color w:val="000000"/>
                <w:sz w:val="18"/>
                <w:szCs w:val="18"/>
              </w:rPr>
              <w:t>Member,Merck:Research</w:t>
            </w:r>
            <w:proofErr w:type="spellEnd"/>
            <w:r w:rsidRPr="008837AC">
              <w:rPr>
                <w:rFonts w:ascii="Calibri" w:hAnsi="Calibri" w:cs="Calibri"/>
                <w:color w:val="000000"/>
                <w:sz w:val="18"/>
                <w:szCs w:val="18"/>
              </w:rPr>
              <w:t xml:space="preserve"> Grant Site Principal </w:t>
            </w:r>
            <w:proofErr w:type="spellStart"/>
            <w:r w:rsidRPr="008837AC">
              <w:rPr>
                <w:rFonts w:ascii="Calibri" w:hAnsi="Calibri" w:cs="Calibri"/>
                <w:color w:val="000000"/>
                <w:sz w:val="18"/>
                <w:szCs w:val="18"/>
              </w:rPr>
              <w:t>Investigator,Merck:Scientific</w:t>
            </w:r>
            <w:proofErr w:type="spellEnd"/>
            <w:r w:rsidRPr="008837AC">
              <w:rPr>
                <w:rFonts w:ascii="Calibri" w:hAnsi="Calibri" w:cs="Calibri"/>
                <w:color w:val="000000"/>
                <w:sz w:val="18"/>
                <w:szCs w:val="18"/>
              </w:rPr>
              <w:t xml:space="preserve">/Medical Advisory Board </w:t>
            </w:r>
            <w:proofErr w:type="spellStart"/>
            <w:r w:rsidRPr="008837AC">
              <w:rPr>
                <w:rFonts w:ascii="Calibri" w:hAnsi="Calibri" w:cs="Calibri"/>
                <w:color w:val="000000"/>
                <w:sz w:val="18"/>
                <w:szCs w:val="18"/>
              </w:rPr>
              <w:t>Member,Novocure:Scientific</w:t>
            </w:r>
            <w:proofErr w:type="spellEnd"/>
            <w:r w:rsidRPr="008837AC">
              <w:rPr>
                <w:rFonts w:ascii="Calibri" w:hAnsi="Calibri" w:cs="Calibri"/>
                <w:color w:val="000000"/>
                <w:sz w:val="18"/>
                <w:szCs w:val="18"/>
              </w:rPr>
              <w:t xml:space="preserve">/Medical Advisory Board </w:t>
            </w:r>
            <w:proofErr w:type="spellStart"/>
            <w:r w:rsidRPr="008837AC">
              <w:rPr>
                <w:rFonts w:ascii="Calibri" w:hAnsi="Calibri" w:cs="Calibri"/>
                <w:color w:val="000000"/>
                <w:sz w:val="18"/>
                <w:szCs w:val="18"/>
              </w:rPr>
              <w:t>Member,Caris:Consultant,Astra</w:t>
            </w:r>
            <w:proofErr w:type="spellEnd"/>
            <w:r w:rsidRPr="008837AC">
              <w:rPr>
                <w:rFonts w:ascii="Calibri" w:hAnsi="Calibri" w:cs="Calibri"/>
                <w:color w:val="000000"/>
                <w:sz w:val="18"/>
                <w:szCs w:val="18"/>
              </w:rPr>
              <w:t xml:space="preserve"> </w:t>
            </w:r>
            <w:proofErr w:type="spellStart"/>
            <w:r w:rsidRPr="008837AC">
              <w:rPr>
                <w:rFonts w:ascii="Calibri" w:hAnsi="Calibri" w:cs="Calibri"/>
                <w:color w:val="000000"/>
                <w:sz w:val="18"/>
                <w:szCs w:val="18"/>
              </w:rPr>
              <w:t>Zeneca:Scientific</w:t>
            </w:r>
            <w:proofErr w:type="spellEnd"/>
            <w:r w:rsidRPr="008837AC">
              <w:rPr>
                <w:rFonts w:ascii="Calibri" w:hAnsi="Calibri" w:cs="Calibri"/>
                <w:color w:val="000000"/>
                <w:sz w:val="18"/>
                <w:szCs w:val="18"/>
              </w:rPr>
              <w:t xml:space="preserve">/Medical Advisory Board </w:t>
            </w:r>
            <w:proofErr w:type="spellStart"/>
            <w:r w:rsidRPr="008837AC">
              <w:rPr>
                <w:rFonts w:ascii="Calibri" w:hAnsi="Calibri" w:cs="Calibri"/>
                <w:color w:val="000000"/>
                <w:sz w:val="18"/>
                <w:szCs w:val="18"/>
              </w:rPr>
              <w:t>Member,Celsion:Scientific</w:t>
            </w:r>
            <w:proofErr w:type="spellEnd"/>
            <w:r w:rsidRPr="008837AC">
              <w:rPr>
                <w:rFonts w:ascii="Calibri" w:hAnsi="Calibri" w:cs="Calibri"/>
                <w:color w:val="000000"/>
                <w:sz w:val="18"/>
                <w:szCs w:val="18"/>
              </w:rPr>
              <w:t xml:space="preserve">/Medical Advisory Board </w:t>
            </w:r>
            <w:proofErr w:type="spellStart"/>
            <w:r w:rsidRPr="008837AC">
              <w:rPr>
                <w:rFonts w:ascii="Calibri" w:hAnsi="Calibri" w:cs="Calibri"/>
                <w:color w:val="000000"/>
                <w:sz w:val="18"/>
                <w:szCs w:val="18"/>
              </w:rPr>
              <w:t>Member,Celsion:Consultant,Celsion:Stock</w:t>
            </w:r>
            <w:proofErr w:type="spellEnd"/>
            <w:r w:rsidRPr="008837AC">
              <w:rPr>
                <w:rFonts w:ascii="Calibri" w:hAnsi="Calibri" w:cs="Calibri"/>
                <w:color w:val="000000"/>
                <w:sz w:val="18"/>
                <w:szCs w:val="18"/>
              </w:rPr>
              <w:t xml:space="preserve"> </w:t>
            </w:r>
            <w:proofErr w:type="spellStart"/>
            <w:r w:rsidRPr="008837AC">
              <w:rPr>
                <w:rFonts w:ascii="Calibri" w:hAnsi="Calibri" w:cs="Calibri"/>
                <w:color w:val="000000"/>
                <w:sz w:val="18"/>
                <w:szCs w:val="18"/>
              </w:rPr>
              <w:t>Shareholder,Eisai:Scientific</w:t>
            </w:r>
            <w:proofErr w:type="spellEnd"/>
            <w:r w:rsidRPr="008837AC">
              <w:rPr>
                <w:rFonts w:ascii="Calibri" w:hAnsi="Calibri" w:cs="Calibri"/>
                <w:color w:val="000000"/>
                <w:sz w:val="18"/>
                <w:szCs w:val="18"/>
              </w:rPr>
              <w:t xml:space="preserve">/Medical Advisory Board </w:t>
            </w:r>
            <w:proofErr w:type="spellStart"/>
            <w:r w:rsidRPr="008837AC">
              <w:rPr>
                <w:rFonts w:ascii="Calibri" w:hAnsi="Calibri" w:cs="Calibri"/>
                <w:color w:val="000000"/>
                <w:sz w:val="18"/>
                <w:szCs w:val="18"/>
              </w:rPr>
              <w:t>Member,Seagen:Scientific</w:t>
            </w:r>
            <w:proofErr w:type="spellEnd"/>
            <w:r w:rsidRPr="008837AC">
              <w:rPr>
                <w:rFonts w:ascii="Calibri" w:hAnsi="Calibri" w:cs="Calibri"/>
                <w:color w:val="000000"/>
                <w:sz w:val="18"/>
                <w:szCs w:val="18"/>
              </w:rPr>
              <w:t>/Medical Advisory Board Member</w:t>
            </w:r>
          </w:p>
        </w:tc>
      </w:tr>
      <w:tr w:rsidR="004E2DE5" w:rsidRPr="008837AC" w14:paraId="10504FED" w14:textId="77777777" w:rsidTr="004E2DE5">
        <w:trPr>
          <w:trHeight w:val="20"/>
        </w:trPr>
        <w:tc>
          <w:tcPr>
            <w:tcW w:w="1180" w:type="dxa"/>
            <w:tcBorders>
              <w:top w:val="nil"/>
              <w:left w:val="single" w:sz="4" w:space="0" w:color="auto"/>
              <w:bottom w:val="single" w:sz="4" w:space="0" w:color="auto"/>
              <w:right w:val="single" w:sz="4" w:space="0" w:color="auto"/>
            </w:tcBorders>
            <w:shd w:val="clear" w:color="auto" w:fill="auto"/>
            <w:hideMark/>
          </w:tcPr>
          <w:p w14:paraId="04FB65CC"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Todd</w:t>
            </w:r>
          </w:p>
        </w:tc>
        <w:tc>
          <w:tcPr>
            <w:tcW w:w="1208" w:type="dxa"/>
            <w:tcBorders>
              <w:top w:val="nil"/>
              <w:left w:val="nil"/>
              <w:bottom w:val="single" w:sz="4" w:space="0" w:color="auto"/>
              <w:right w:val="single" w:sz="4" w:space="0" w:color="auto"/>
            </w:tcBorders>
            <w:shd w:val="clear" w:color="auto" w:fill="auto"/>
            <w:hideMark/>
          </w:tcPr>
          <w:p w14:paraId="3B7CE61A" w14:textId="77777777" w:rsidR="004E2DE5" w:rsidRPr="008837AC" w:rsidRDefault="004E2DE5" w:rsidP="004E2DE5">
            <w:pPr>
              <w:rPr>
                <w:rFonts w:ascii="Calibri" w:hAnsi="Calibri" w:cs="Calibri"/>
                <w:color w:val="000000"/>
                <w:sz w:val="18"/>
                <w:szCs w:val="18"/>
              </w:rPr>
            </w:pPr>
            <w:proofErr w:type="spellStart"/>
            <w:r w:rsidRPr="008837AC">
              <w:rPr>
                <w:rFonts w:ascii="Calibri" w:hAnsi="Calibri" w:cs="Calibri"/>
                <w:color w:val="000000"/>
                <w:sz w:val="18"/>
                <w:szCs w:val="18"/>
              </w:rPr>
              <w:t>Tillmanns</w:t>
            </w:r>
            <w:proofErr w:type="spellEnd"/>
          </w:p>
        </w:tc>
        <w:tc>
          <w:tcPr>
            <w:tcW w:w="1198" w:type="dxa"/>
            <w:tcBorders>
              <w:top w:val="nil"/>
              <w:left w:val="nil"/>
              <w:bottom w:val="single" w:sz="4" w:space="0" w:color="auto"/>
              <w:right w:val="single" w:sz="4" w:space="0" w:color="auto"/>
            </w:tcBorders>
            <w:shd w:val="clear" w:color="auto" w:fill="auto"/>
            <w:hideMark/>
          </w:tcPr>
          <w:p w14:paraId="4194469E" w14:textId="77777777" w:rsidR="004E2DE5" w:rsidRPr="008837AC" w:rsidRDefault="004E2DE5" w:rsidP="004E2DE5">
            <w:pPr>
              <w:rPr>
                <w:rFonts w:ascii="Calibri" w:hAnsi="Calibri" w:cs="Calibri"/>
                <w:color w:val="000000"/>
                <w:sz w:val="18"/>
                <w:szCs w:val="18"/>
              </w:rPr>
            </w:pPr>
            <w:r w:rsidRPr="008837AC">
              <w:rPr>
                <w:rFonts w:ascii="Calibri" w:hAnsi="Calibri" w:cs="Calibri"/>
                <w:color w:val="000000"/>
                <w:sz w:val="18"/>
                <w:szCs w:val="18"/>
              </w:rPr>
              <w:t>Speaker, Reviewer, Planner</w:t>
            </w:r>
          </w:p>
        </w:tc>
        <w:tc>
          <w:tcPr>
            <w:tcW w:w="7209" w:type="dxa"/>
            <w:tcBorders>
              <w:top w:val="nil"/>
              <w:left w:val="nil"/>
              <w:bottom w:val="single" w:sz="4" w:space="0" w:color="auto"/>
              <w:right w:val="single" w:sz="4" w:space="0" w:color="auto"/>
            </w:tcBorders>
            <w:shd w:val="clear" w:color="auto" w:fill="auto"/>
            <w:hideMark/>
          </w:tcPr>
          <w:p w14:paraId="7065E6B3" w14:textId="77777777" w:rsidR="004E2DE5" w:rsidRPr="008837AC" w:rsidRDefault="004E2DE5" w:rsidP="004E2DE5">
            <w:pPr>
              <w:rPr>
                <w:rFonts w:ascii="Calibri" w:hAnsi="Calibri" w:cs="Calibri"/>
                <w:color w:val="000000"/>
                <w:sz w:val="18"/>
                <w:szCs w:val="18"/>
              </w:rPr>
            </w:pPr>
            <w:proofErr w:type="spellStart"/>
            <w:r w:rsidRPr="008837AC">
              <w:rPr>
                <w:rFonts w:ascii="Calibri" w:hAnsi="Calibri" w:cs="Calibri"/>
                <w:color w:val="000000"/>
                <w:sz w:val="18"/>
                <w:szCs w:val="18"/>
              </w:rPr>
              <w:t>Myriad:Scientific</w:t>
            </w:r>
            <w:proofErr w:type="spellEnd"/>
            <w:r w:rsidRPr="008837AC">
              <w:rPr>
                <w:rFonts w:ascii="Calibri" w:hAnsi="Calibri" w:cs="Calibri"/>
                <w:color w:val="000000"/>
                <w:sz w:val="18"/>
                <w:szCs w:val="18"/>
              </w:rPr>
              <w:t xml:space="preserve">/Medical Advisory Board </w:t>
            </w:r>
            <w:proofErr w:type="spellStart"/>
            <w:r w:rsidRPr="008837AC">
              <w:rPr>
                <w:rFonts w:ascii="Calibri" w:hAnsi="Calibri" w:cs="Calibri"/>
                <w:color w:val="000000"/>
                <w:sz w:val="18"/>
                <w:szCs w:val="18"/>
              </w:rPr>
              <w:t>Member,Eisai:Speakers</w:t>
            </w:r>
            <w:proofErr w:type="spellEnd"/>
            <w:r w:rsidRPr="008837AC">
              <w:rPr>
                <w:rFonts w:ascii="Calibri" w:hAnsi="Calibri" w:cs="Calibri"/>
                <w:color w:val="000000"/>
                <w:sz w:val="18"/>
                <w:szCs w:val="18"/>
              </w:rPr>
              <w:t xml:space="preserve"> </w:t>
            </w:r>
            <w:proofErr w:type="spellStart"/>
            <w:r w:rsidRPr="008837AC">
              <w:rPr>
                <w:rFonts w:ascii="Calibri" w:hAnsi="Calibri" w:cs="Calibri"/>
                <w:color w:val="000000"/>
                <w:sz w:val="18"/>
                <w:szCs w:val="18"/>
              </w:rPr>
              <w:t>Bureau,West</w:t>
            </w:r>
            <w:proofErr w:type="spellEnd"/>
            <w:r w:rsidRPr="008837AC">
              <w:rPr>
                <w:rFonts w:ascii="Calibri" w:hAnsi="Calibri" w:cs="Calibri"/>
                <w:color w:val="000000"/>
                <w:sz w:val="18"/>
                <w:szCs w:val="18"/>
              </w:rPr>
              <w:t xml:space="preserve"> Cancer Center Research </w:t>
            </w:r>
            <w:proofErr w:type="spellStart"/>
            <w:r w:rsidRPr="008837AC">
              <w:rPr>
                <w:rFonts w:ascii="Calibri" w:hAnsi="Calibri" w:cs="Calibri"/>
                <w:color w:val="000000"/>
                <w:sz w:val="18"/>
                <w:szCs w:val="18"/>
              </w:rPr>
              <w:t>Institute:Employee,GSK:Speakers</w:t>
            </w:r>
            <w:proofErr w:type="spellEnd"/>
            <w:r w:rsidRPr="008837AC">
              <w:rPr>
                <w:rFonts w:ascii="Calibri" w:hAnsi="Calibri" w:cs="Calibri"/>
                <w:color w:val="000000"/>
                <w:sz w:val="18"/>
                <w:szCs w:val="18"/>
              </w:rPr>
              <w:t xml:space="preserve"> </w:t>
            </w:r>
            <w:proofErr w:type="spellStart"/>
            <w:r w:rsidRPr="008837AC">
              <w:rPr>
                <w:rFonts w:ascii="Calibri" w:hAnsi="Calibri" w:cs="Calibri"/>
                <w:color w:val="000000"/>
                <w:sz w:val="18"/>
                <w:szCs w:val="18"/>
              </w:rPr>
              <w:t>Bureau,Astra</w:t>
            </w:r>
            <w:proofErr w:type="spellEnd"/>
            <w:r w:rsidRPr="008837AC">
              <w:rPr>
                <w:rFonts w:ascii="Calibri" w:hAnsi="Calibri" w:cs="Calibri"/>
                <w:color w:val="000000"/>
                <w:sz w:val="18"/>
                <w:szCs w:val="18"/>
              </w:rPr>
              <w:t xml:space="preserve"> </w:t>
            </w:r>
            <w:proofErr w:type="spellStart"/>
            <w:r w:rsidRPr="008837AC">
              <w:rPr>
                <w:rFonts w:ascii="Calibri" w:hAnsi="Calibri" w:cs="Calibri"/>
                <w:color w:val="000000"/>
                <w:sz w:val="18"/>
                <w:szCs w:val="18"/>
              </w:rPr>
              <w:t>Zeneca:Speakers</w:t>
            </w:r>
            <w:proofErr w:type="spellEnd"/>
            <w:r w:rsidRPr="008837AC">
              <w:rPr>
                <w:rFonts w:ascii="Calibri" w:hAnsi="Calibri" w:cs="Calibri"/>
                <w:color w:val="000000"/>
                <w:sz w:val="18"/>
                <w:szCs w:val="18"/>
              </w:rPr>
              <w:t xml:space="preserve"> </w:t>
            </w:r>
            <w:proofErr w:type="spellStart"/>
            <w:r w:rsidRPr="008837AC">
              <w:rPr>
                <w:rFonts w:ascii="Calibri" w:hAnsi="Calibri" w:cs="Calibri"/>
                <w:color w:val="000000"/>
                <w:sz w:val="18"/>
                <w:szCs w:val="18"/>
              </w:rPr>
              <w:t>Bureau,intuitive:Speakers</w:t>
            </w:r>
            <w:proofErr w:type="spellEnd"/>
            <w:r w:rsidRPr="008837AC">
              <w:rPr>
                <w:rFonts w:ascii="Calibri" w:hAnsi="Calibri" w:cs="Calibri"/>
                <w:color w:val="000000"/>
                <w:sz w:val="18"/>
                <w:szCs w:val="18"/>
              </w:rPr>
              <w:t xml:space="preserve"> Bureau</w:t>
            </w:r>
          </w:p>
        </w:tc>
      </w:tr>
    </w:tbl>
    <w:p w14:paraId="0AF4C349" w14:textId="420CBFE2" w:rsidR="00C044D5" w:rsidRPr="004E2DE5" w:rsidRDefault="00C044D5" w:rsidP="00C044D5">
      <w:pPr>
        <w:pStyle w:val="BodyText"/>
        <w:rPr>
          <w:rFonts w:ascii="Calibri" w:hAnsi="Calibri" w:cs="Calibri"/>
          <w:color w:val="000000" w:themeColor="text1"/>
          <w:sz w:val="20"/>
          <w:lang w:val="en-US"/>
        </w:rPr>
      </w:pPr>
    </w:p>
    <w:p w14:paraId="7E2A1B63" w14:textId="3069A073" w:rsidR="00654900" w:rsidRPr="004E2DE5" w:rsidRDefault="00654900" w:rsidP="00C044D5">
      <w:pPr>
        <w:pStyle w:val="BodyText"/>
        <w:rPr>
          <w:rFonts w:ascii="Calibri" w:hAnsi="Calibri" w:cs="Calibri"/>
          <w:color w:val="000000" w:themeColor="text1"/>
          <w:sz w:val="20"/>
        </w:rPr>
      </w:pPr>
    </w:p>
    <w:p w14:paraId="08809B83" w14:textId="77777777" w:rsidR="006A23F8" w:rsidRPr="004E2DE5" w:rsidRDefault="006A23F8" w:rsidP="00C044D5">
      <w:pPr>
        <w:pStyle w:val="BodyText"/>
        <w:rPr>
          <w:rFonts w:ascii="Calibri" w:hAnsi="Calibri" w:cs="Calibri"/>
          <w:color w:val="000000" w:themeColor="text1"/>
          <w:sz w:val="20"/>
          <w:lang w:val="en-US"/>
        </w:rPr>
      </w:pPr>
    </w:p>
    <w:sectPr w:rsidR="006A23F8" w:rsidRPr="004E2DE5" w:rsidSect="00AB2AD4">
      <w:type w:val="continuous"/>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DCC87" w14:textId="77777777" w:rsidR="005976AD" w:rsidRDefault="005976AD">
      <w:r>
        <w:separator/>
      </w:r>
    </w:p>
  </w:endnote>
  <w:endnote w:type="continuationSeparator" w:id="0">
    <w:p w14:paraId="68182533" w14:textId="77777777" w:rsidR="005976AD" w:rsidRDefault="00597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53B6" w14:textId="77777777" w:rsidR="00A8069F"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6455E" w14:textId="77777777" w:rsidR="00A8069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4422" w14:textId="77777777" w:rsidR="00A8069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19BA7" w14:textId="77777777" w:rsidR="005976AD" w:rsidRDefault="005976AD">
      <w:r>
        <w:separator/>
      </w:r>
    </w:p>
  </w:footnote>
  <w:footnote w:type="continuationSeparator" w:id="0">
    <w:p w14:paraId="00DBFC5B" w14:textId="77777777" w:rsidR="005976AD" w:rsidRDefault="00597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6BC29" w14:textId="77777777" w:rsidR="00A8069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730AC" w14:textId="77777777" w:rsidR="00A8069F"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ED2F" w14:textId="77777777" w:rsidR="00A8069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A52564"/>
    <w:multiLevelType w:val="hybridMultilevel"/>
    <w:tmpl w:val="529ECE4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E710D1"/>
    <w:multiLevelType w:val="hybridMultilevel"/>
    <w:tmpl w:val="C56EB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10"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5"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6"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8"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15349698">
    <w:abstractNumId w:val="2"/>
  </w:num>
  <w:num w:numId="2" w16cid:durableId="434591585">
    <w:abstractNumId w:val="17"/>
  </w:num>
  <w:num w:numId="3" w16cid:durableId="2116633613">
    <w:abstractNumId w:val="15"/>
  </w:num>
  <w:num w:numId="4" w16cid:durableId="663240959">
    <w:abstractNumId w:val="10"/>
  </w:num>
  <w:num w:numId="5" w16cid:durableId="323628983">
    <w:abstractNumId w:val="13"/>
  </w:num>
  <w:num w:numId="6" w16cid:durableId="2109033143">
    <w:abstractNumId w:val="8"/>
  </w:num>
  <w:num w:numId="7" w16cid:durableId="12076666">
    <w:abstractNumId w:val="12"/>
  </w:num>
  <w:num w:numId="8" w16cid:durableId="1534997100">
    <w:abstractNumId w:val="0"/>
  </w:num>
  <w:num w:numId="9" w16cid:durableId="595099118">
    <w:abstractNumId w:val="11"/>
  </w:num>
  <w:num w:numId="10" w16cid:durableId="1783108238">
    <w:abstractNumId w:val="16"/>
  </w:num>
  <w:num w:numId="11" w16cid:durableId="1018891973">
    <w:abstractNumId w:val="19"/>
  </w:num>
  <w:num w:numId="12" w16cid:durableId="740173720">
    <w:abstractNumId w:val="9"/>
  </w:num>
  <w:num w:numId="13" w16cid:durableId="80220061">
    <w:abstractNumId w:val="14"/>
  </w:num>
  <w:num w:numId="14" w16cid:durableId="1628773229">
    <w:abstractNumId w:val="6"/>
  </w:num>
  <w:num w:numId="15" w16cid:durableId="1751927222">
    <w:abstractNumId w:val="7"/>
  </w:num>
  <w:num w:numId="16" w16cid:durableId="1931041472">
    <w:abstractNumId w:val="18"/>
  </w:num>
  <w:num w:numId="17" w16cid:durableId="2058579148">
    <w:abstractNumId w:val="3"/>
  </w:num>
  <w:num w:numId="18" w16cid:durableId="2125224066">
    <w:abstractNumId w:val="5"/>
  </w:num>
  <w:num w:numId="19" w16cid:durableId="1067416462">
    <w:abstractNumId w:val="4"/>
  </w:num>
  <w:num w:numId="20" w16cid:durableId="2074885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37C14"/>
    <w:rsid w:val="000846C2"/>
    <w:rsid w:val="00087ADC"/>
    <w:rsid w:val="000D22BB"/>
    <w:rsid w:val="000E4F54"/>
    <w:rsid w:val="000F1340"/>
    <w:rsid w:val="00112A9D"/>
    <w:rsid w:val="001300F1"/>
    <w:rsid w:val="001848EE"/>
    <w:rsid w:val="001A3C74"/>
    <w:rsid w:val="001B1F11"/>
    <w:rsid w:val="001C1B13"/>
    <w:rsid w:val="00240A06"/>
    <w:rsid w:val="002566AF"/>
    <w:rsid w:val="002645B3"/>
    <w:rsid w:val="00275524"/>
    <w:rsid w:val="00276C19"/>
    <w:rsid w:val="002A2795"/>
    <w:rsid w:val="002A66E3"/>
    <w:rsid w:val="002F7B72"/>
    <w:rsid w:val="00304CE2"/>
    <w:rsid w:val="00305D46"/>
    <w:rsid w:val="003271BB"/>
    <w:rsid w:val="003715A0"/>
    <w:rsid w:val="0037416F"/>
    <w:rsid w:val="00397787"/>
    <w:rsid w:val="003B3F31"/>
    <w:rsid w:val="003D33BB"/>
    <w:rsid w:val="00403BCB"/>
    <w:rsid w:val="00442CE8"/>
    <w:rsid w:val="00463B99"/>
    <w:rsid w:val="0048004A"/>
    <w:rsid w:val="004D2CBE"/>
    <w:rsid w:val="004E257B"/>
    <w:rsid w:val="004E2DE5"/>
    <w:rsid w:val="004F0D35"/>
    <w:rsid w:val="00512FB7"/>
    <w:rsid w:val="00556974"/>
    <w:rsid w:val="00582C4E"/>
    <w:rsid w:val="005961A9"/>
    <w:rsid w:val="005976AD"/>
    <w:rsid w:val="005D26F9"/>
    <w:rsid w:val="005D690A"/>
    <w:rsid w:val="00621DD1"/>
    <w:rsid w:val="0063718E"/>
    <w:rsid w:val="00654900"/>
    <w:rsid w:val="00673BA2"/>
    <w:rsid w:val="00673BF5"/>
    <w:rsid w:val="00680919"/>
    <w:rsid w:val="00686D4A"/>
    <w:rsid w:val="006901FE"/>
    <w:rsid w:val="006A23F8"/>
    <w:rsid w:val="006A3755"/>
    <w:rsid w:val="006E264F"/>
    <w:rsid w:val="006E6C39"/>
    <w:rsid w:val="006F037C"/>
    <w:rsid w:val="006F30F2"/>
    <w:rsid w:val="0071262F"/>
    <w:rsid w:val="007D065B"/>
    <w:rsid w:val="007E1856"/>
    <w:rsid w:val="008407ED"/>
    <w:rsid w:val="0084583D"/>
    <w:rsid w:val="00863B0A"/>
    <w:rsid w:val="008837AC"/>
    <w:rsid w:val="008B237E"/>
    <w:rsid w:val="008D446D"/>
    <w:rsid w:val="009123FB"/>
    <w:rsid w:val="00924BE6"/>
    <w:rsid w:val="009B6C80"/>
    <w:rsid w:val="009E1E75"/>
    <w:rsid w:val="009E362B"/>
    <w:rsid w:val="00A31760"/>
    <w:rsid w:val="00A36343"/>
    <w:rsid w:val="00A56E2F"/>
    <w:rsid w:val="00A939E0"/>
    <w:rsid w:val="00AB25F8"/>
    <w:rsid w:val="00AB2AD4"/>
    <w:rsid w:val="00AC3125"/>
    <w:rsid w:val="00AD3F18"/>
    <w:rsid w:val="00B4657A"/>
    <w:rsid w:val="00B51BEA"/>
    <w:rsid w:val="00B56893"/>
    <w:rsid w:val="00B86324"/>
    <w:rsid w:val="00BC0BBE"/>
    <w:rsid w:val="00BC691F"/>
    <w:rsid w:val="00BD246D"/>
    <w:rsid w:val="00BD455F"/>
    <w:rsid w:val="00C044D5"/>
    <w:rsid w:val="00C103DE"/>
    <w:rsid w:val="00C17621"/>
    <w:rsid w:val="00C24415"/>
    <w:rsid w:val="00C26057"/>
    <w:rsid w:val="00C376F2"/>
    <w:rsid w:val="00C43A79"/>
    <w:rsid w:val="00C67F5C"/>
    <w:rsid w:val="00C74665"/>
    <w:rsid w:val="00CD5887"/>
    <w:rsid w:val="00CF0C5F"/>
    <w:rsid w:val="00CF79BA"/>
    <w:rsid w:val="00D03240"/>
    <w:rsid w:val="00D2064B"/>
    <w:rsid w:val="00D25E4C"/>
    <w:rsid w:val="00D34C74"/>
    <w:rsid w:val="00D5405C"/>
    <w:rsid w:val="00D56D6A"/>
    <w:rsid w:val="00D60566"/>
    <w:rsid w:val="00D65B52"/>
    <w:rsid w:val="00DD1F49"/>
    <w:rsid w:val="00DD49A5"/>
    <w:rsid w:val="00DE40D3"/>
    <w:rsid w:val="00E255C2"/>
    <w:rsid w:val="00E30E1E"/>
    <w:rsid w:val="00E41B3B"/>
    <w:rsid w:val="00E62E28"/>
    <w:rsid w:val="00E7360C"/>
    <w:rsid w:val="00E9653F"/>
    <w:rsid w:val="00F12A6F"/>
    <w:rsid w:val="00F4139D"/>
    <w:rsid w:val="00F70BEF"/>
    <w:rsid w:val="00FA14DC"/>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02F07"/>
  <w14:defaultImageDpi w14:val="32767"/>
  <w15:chartTrackingRefBased/>
  <w15:docId w15:val="{45E8C021-D52A-D048-A31E-27F9FC98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entury Gothic" w:hAnsi="Century Gothic"/>
      <w:b/>
      <w:color w:val="0000FF"/>
      <w:sz w:val="48"/>
    </w:rPr>
  </w:style>
  <w:style w:type="paragraph" w:styleId="Heading2">
    <w:name w:val="heading 2"/>
    <w:basedOn w:val="Normal"/>
    <w:next w:val="Normal"/>
    <w:qFormat/>
    <w:pPr>
      <w:keepNext/>
      <w:outlineLvl w:val="1"/>
    </w:pPr>
    <w:rPr>
      <w:rFonts w:ascii="Century Gothic" w:hAnsi="Century Gothic"/>
      <w:noProof/>
      <w:sz w:val="28"/>
    </w:rPr>
  </w:style>
  <w:style w:type="paragraph" w:styleId="Heading3">
    <w:name w:val="heading 3"/>
    <w:basedOn w:val="Normal"/>
    <w:next w:val="Normal"/>
    <w:qFormat/>
    <w:pPr>
      <w:keepNext/>
      <w:outlineLvl w:val="2"/>
    </w:pPr>
    <w:rPr>
      <w:rFonts w:ascii="Century Gothic" w:hAnsi="Century Gothic"/>
      <w:b/>
      <w:noProof/>
      <w:sz w:val="36"/>
    </w:rPr>
  </w:style>
  <w:style w:type="paragraph" w:styleId="Heading4">
    <w:name w:val="heading 4"/>
    <w:basedOn w:val="Normal"/>
    <w:next w:val="Normal"/>
    <w:link w:val="Heading4Char"/>
    <w:qFormat/>
    <w:pPr>
      <w:keepNext/>
      <w:outlineLvl w:val="3"/>
    </w:pPr>
    <w:rPr>
      <w:rFonts w:ascii="Century Gothic" w:hAnsi="Century Gothic"/>
      <w:noProof/>
      <w:color w:val="0000FF"/>
      <w:sz w:val="40"/>
    </w:rPr>
  </w:style>
  <w:style w:type="paragraph" w:styleId="Heading5">
    <w:name w:val="heading 5"/>
    <w:basedOn w:val="Normal"/>
    <w:next w:val="Normal"/>
    <w:qFormat/>
    <w:pPr>
      <w:keepNext/>
      <w:ind w:left="1440"/>
      <w:outlineLvl w:val="4"/>
    </w:pPr>
    <w:rPr>
      <w:rFonts w:ascii="Century Gothic" w:hAnsi="Century Gothic"/>
      <w:noProof/>
      <w:sz w:val="24"/>
    </w:rPr>
  </w:style>
  <w:style w:type="paragraph" w:styleId="Heading6">
    <w:name w:val="heading 6"/>
    <w:basedOn w:val="Normal"/>
    <w:next w:val="Normal"/>
    <w:qFormat/>
    <w:pPr>
      <w:keepNext/>
      <w:outlineLvl w:val="5"/>
    </w:pPr>
    <w:rPr>
      <w:rFonts w:ascii="Century Gothic" w:hAnsi="Century Gothic"/>
      <w:b/>
      <w:noProof/>
      <w:sz w:val="24"/>
    </w:rPr>
  </w:style>
  <w:style w:type="paragraph" w:styleId="Heading7">
    <w:name w:val="heading 7"/>
    <w:basedOn w:val="Normal"/>
    <w:next w:val="Normal"/>
    <w:qFormat/>
    <w:pPr>
      <w:keepNext/>
      <w:outlineLvl w:val="6"/>
    </w:pPr>
    <w:rPr>
      <w:rFonts w:ascii="Century Gothic" w:hAnsi="Century Goth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customStyle="1" w:styleId="Style1">
    <w:name w:val="Style1"/>
    <w:basedOn w:val="Normal"/>
    <w:pPr>
      <w:jc w:val="right"/>
    </w:pPr>
    <w:rPr>
      <w:rFonts w:ascii="Helvetica" w:hAnsi="Helvetica"/>
      <w:color w:val="0000FF"/>
      <w:sz w:val="36"/>
    </w:rPr>
  </w:style>
  <w:style w:type="paragraph" w:styleId="BodyTextIndent">
    <w:name w:val="Body Text Indent"/>
    <w:basedOn w:val="Normal"/>
    <w:pPr>
      <w:ind w:left="990"/>
      <w:jc w:val="both"/>
    </w:pPr>
    <w:rPr>
      <w:rFonts w:ascii="Century Gothic" w:hAnsi="Century Gothic"/>
      <w:snapToGrid w:val="0"/>
      <w:sz w:val="16"/>
    </w:rPr>
  </w:style>
  <w:style w:type="paragraph" w:styleId="BodyText">
    <w:name w:val="Body Text"/>
    <w:basedOn w:val="Normal"/>
    <w:link w:val="BodyTextChar"/>
    <w:rPr>
      <w:rFonts w:ascii="Century Gothic" w:hAnsi="Century Gothic"/>
      <w:sz w:val="18"/>
      <w:lang w:val="x-none" w:eastAsia="x-none"/>
    </w:rPr>
  </w:style>
  <w:style w:type="paragraph" w:customStyle="1" w:styleId="CG10">
    <w:name w:val="CG10"/>
    <w:basedOn w:val="Normal"/>
    <w:rPr>
      <w:rFonts w:ascii="Century Gothic" w:hAnsi="Century Gothic"/>
      <w:noProof/>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rPr>
      <w:sz w:val="24"/>
      <w:szCs w:val="24"/>
    </w:r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uiPriority w:val="34"/>
    <w:qFormat/>
    <w:rsid w:val="00A31760"/>
    <w:pPr>
      <w:ind w:left="720"/>
    </w:pPr>
  </w:style>
  <w:style w:type="character" w:customStyle="1" w:styleId="Heading4Char">
    <w:name w:val="Heading 4 Char"/>
    <w:link w:val="Heading4"/>
    <w:rsid w:val="00C044D5"/>
    <w:rPr>
      <w:rFonts w:ascii="Century Gothic" w:hAnsi="Century Gothic"/>
      <w:noProof/>
      <w:color w:val="0000FF"/>
      <w:sz w:val="40"/>
    </w:rPr>
  </w:style>
  <w:style w:type="paragraph" w:styleId="Header">
    <w:name w:val="header"/>
    <w:basedOn w:val="Normal"/>
    <w:link w:val="HeaderChar"/>
    <w:rsid w:val="00C044D5"/>
    <w:pPr>
      <w:tabs>
        <w:tab w:val="center" w:pos="4680"/>
        <w:tab w:val="right" w:pos="9360"/>
      </w:tabs>
    </w:pPr>
  </w:style>
  <w:style w:type="character" w:customStyle="1" w:styleId="HeaderChar">
    <w:name w:val="Header Char"/>
    <w:basedOn w:val="DefaultParagraphFont"/>
    <w:link w:val="Header"/>
    <w:rsid w:val="00C044D5"/>
  </w:style>
  <w:style w:type="paragraph" w:styleId="Footer">
    <w:name w:val="footer"/>
    <w:basedOn w:val="Normal"/>
    <w:link w:val="FooterChar"/>
    <w:rsid w:val="00C044D5"/>
    <w:pPr>
      <w:tabs>
        <w:tab w:val="center" w:pos="4680"/>
        <w:tab w:val="right" w:pos="9360"/>
      </w:tabs>
    </w:pPr>
  </w:style>
  <w:style w:type="character" w:customStyle="1" w:styleId="FooterChar">
    <w:name w:val="Footer Char"/>
    <w:basedOn w:val="DefaultParagraphFont"/>
    <w:link w:val="Footer"/>
    <w:rsid w:val="00C04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436751779">
      <w:bodyDiv w:val="1"/>
      <w:marLeft w:val="0"/>
      <w:marRight w:val="0"/>
      <w:marTop w:val="0"/>
      <w:marBottom w:val="0"/>
      <w:divBdr>
        <w:top w:val="none" w:sz="0" w:space="0" w:color="auto"/>
        <w:left w:val="none" w:sz="0" w:space="0" w:color="auto"/>
        <w:bottom w:val="none" w:sz="0" w:space="0" w:color="auto"/>
        <w:right w:val="none" w:sz="0" w:space="0" w:color="auto"/>
      </w:divBdr>
    </w:div>
    <w:div w:id="475993807">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43325954">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4621913">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99989142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064108508">
      <w:bodyDiv w:val="1"/>
      <w:marLeft w:val="0"/>
      <w:marRight w:val="0"/>
      <w:marTop w:val="0"/>
      <w:marBottom w:val="0"/>
      <w:divBdr>
        <w:top w:val="none" w:sz="0" w:space="0" w:color="auto"/>
        <w:left w:val="none" w:sz="0" w:space="0" w:color="auto"/>
        <w:bottom w:val="none" w:sz="0" w:space="0" w:color="auto"/>
        <w:right w:val="none" w:sz="0" w:space="0" w:color="auto"/>
      </w:divBdr>
    </w:div>
    <w:div w:id="1102528988">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53988796">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936565">
      <w:bodyDiv w:val="1"/>
      <w:marLeft w:val="0"/>
      <w:marRight w:val="0"/>
      <w:marTop w:val="0"/>
      <w:marBottom w:val="0"/>
      <w:divBdr>
        <w:top w:val="none" w:sz="0" w:space="0" w:color="auto"/>
        <w:left w:val="none" w:sz="0" w:space="0" w:color="auto"/>
        <w:bottom w:val="none" w:sz="0" w:space="0" w:color="auto"/>
        <w:right w:val="none" w:sz="0" w:space="0" w:color="auto"/>
      </w:divBdr>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524979894">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1916470566">
      <w:bodyDiv w:val="1"/>
      <w:marLeft w:val="0"/>
      <w:marRight w:val="0"/>
      <w:marTop w:val="0"/>
      <w:marBottom w:val="0"/>
      <w:divBdr>
        <w:top w:val="none" w:sz="0" w:space="0" w:color="auto"/>
        <w:left w:val="none" w:sz="0" w:space="0" w:color="auto"/>
        <w:bottom w:val="none" w:sz="0" w:space="0" w:color="auto"/>
        <w:right w:val="none" w:sz="0" w:space="0" w:color="auto"/>
      </w:divBdr>
    </w:div>
    <w:div w:id="2018116917">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33722921">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1124816">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6077</CharactersWithSpaces>
  <SharedDoc>false</SharedDoc>
  <HLinks>
    <vt:vector size="12" baseType="variant">
      <vt:variant>
        <vt:i4>7733321</vt:i4>
      </vt:variant>
      <vt:variant>
        <vt:i4>3</vt:i4>
      </vt:variant>
      <vt:variant>
        <vt:i4>0</vt:i4>
      </vt:variant>
      <vt:variant>
        <vt:i4>5</vt:i4>
      </vt:variant>
      <vt:variant>
        <vt:lpwstr>mailto:Certificate@AmedcoEmail.com</vt:lpwstr>
      </vt:variant>
      <vt:variant>
        <vt:lpwstr/>
      </vt:variant>
      <vt:variant>
        <vt:i4>4259932</vt:i4>
      </vt:variant>
      <vt:variant>
        <vt:i4>0</vt:i4>
      </vt:variant>
      <vt:variant>
        <vt:i4>0</vt:i4>
      </vt:variant>
      <vt:variant>
        <vt:i4>5</vt:i4>
      </vt:variant>
      <vt:variant>
        <vt:lpwstr>http://col.cmecertificateonline.com/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Tracy Sandstrom</cp:lastModifiedBy>
  <cp:revision>26</cp:revision>
  <cp:lastPrinted>2011-08-31T15:42:00Z</cp:lastPrinted>
  <dcterms:created xsi:type="dcterms:W3CDTF">2022-01-13T15:43:00Z</dcterms:created>
  <dcterms:modified xsi:type="dcterms:W3CDTF">2022-07-25T15:20:00Z</dcterms:modified>
</cp:coreProperties>
</file>